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64BE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Vysoká škola báňská – Technická univerzita Ostrava</w:t>
      </w:r>
    </w:p>
    <w:p w14:paraId="3E92A298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Výzkumné energetické centrum, Zkušební laboratoř</w:t>
      </w:r>
    </w:p>
    <w:p w14:paraId="1A746555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1166.3</w:t>
      </w:r>
    </w:p>
    <w:p w14:paraId="7E60259F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532/2025</w:t>
      </w:r>
    </w:p>
    <w:p w14:paraId="49904A5C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3F81802B" w14:textId="513F2B0B" w:rsidR="005E522E" w:rsidRPr="00256D21" w:rsidRDefault="00256D21" w:rsidP="00256D21">
      <w:pPr>
        <w:spacing w:before="120"/>
        <w:rPr>
          <w:b/>
          <w:szCs w:val="24"/>
        </w:rPr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 w:rsidR="00485DCA">
        <w:rPr>
          <w:szCs w:val="24"/>
        </w:rPr>
        <w:t xml:space="preserve"> </w:t>
      </w:r>
      <w:r w:rsidR="00A1279A">
        <w:rPr>
          <w:szCs w:val="24"/>
        </w:rPr>
        <w:t>22. 10. 2025</w:t>
      </w:r>
    </w:p>
    <w:p w14:paraId="661EB5CE" w14:textId="77777777" w:rsidR="005E522E" w:rsidRPr="00256D21" w:rsidRDefault="005E522E" w:rsidP="00256D21">
      <w:pPr>
        <w:spacing w:before="240" w:after="60"/>
        <w:jc w:val="left"/>
        <w:rPr>
          <w:b/>
          <w:szCs w:val="24"/>
        </w:rPr>
      </w:pPr>
      <w:r w:rsidRPr="00256D21">
        <w:rPr>
          <w:b/>
          <w:szCs w:val="24"/>
        </w:rPr>
        <w:t>Pracoviště zkušební laboratoře:</w:t>
      </w:r>
    </w:p>
    <w:p w14:paraId="778EDC86" w14:textId="77777777" w:rsidR="00A1279A" w:rsidRDefault="00A1279A" w:rsidP="00A1279A">
      <w:pPr>
        <w:tabs>
          <w:tab w:val="left" w:pos="851"/>
          <w:tab w:val="left" w:pos="2127"/>
          <w:tab w:val="left" w:pos="3969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Laboratoře VEC</w:t>
      </w:r>
      <w:r>
        <w:rPr>
          <w:b/>
          <w:sz w:val="22"/>
        </w:rPr>
        <w:tab/>
      </w:r>
      <w:r>
        <w:rPr>
          <w:sz w:val="22"/>
        </w:rPr>
        <w:t>17. listopadu 2172/15, 708 00 Ostrava – Poruba, budova VEC</w:t>
      </w:r>
    </w:p>
    <w:p w14:paraId="3EAEFCD6" w14:textId="77777777" w:rsidR="00A1279A" w:rsidRDefault="00A1279A" w:rsidP="00A1279A">
      <w:pPr>
        <w:tabs>
          <w:tab w:val="left" w:pos="851"/>
          <w:tab w:val="left" w:pos="2127"/>
          <w:tab w:val="left" w:pos="3969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Laboratoř IET</w:t>
      </w:r>
      <w:r>
        <w:rPr>
          <w:b/>
          <w:sz w:val="22"/>
        </w:rPr>
        <w:tab/>
      </w:r>
      <w:r>
        <w:rPr>
          <w:sz w:val="22"/>
        </w:rPr>
        <w:t>17. listopadu 2172/15, 708 00 Ostrava – Poruba, budova IET</w:t>
      </w:r>
    </w:p>
    <w:p w14:paraId="78A6B7F9" w14:textId="77777777" w:rsidR="00A1279A" w:rsidRDefault="00A1279A" w:rsidP="00A1279A">
      <w:pPr>
        <w:keepNext/>
        <w:spacing w:before="24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692"/>
        <w:gridCol w:w="2836"/>
        <w:gridCol w:w="2720"/>
        <w:gridCol w:w="967"/>
      </w:tblGrid>
      <w:tr w:rsidR="00A1279A" w14:paraId="08C78029" w14:textId="77777777" w:rsidTr="002F5BD3">
        <w:trPr>
          <w:cantSplit/>
          <w:tblHeader/>
          <w:jc w:val="center"/>
        </w:trPr>
        <w:tc>
          <w:tcPr>
            <w:tcW w:w="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ECB82E" w14:textId="77777777" w:rsidR="00A1279A" w:rsidRPr="003A32C2" w:rsidRDefault="00A1279A" w:rsidP="002F5BD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6285C4" w14:textId="77777777" w:rsidR="00A1279A" w:rsidRDefault="00A1279A" w:rsidP="002F5BD3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2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B28DDD" w14:textId="77777777" w:rsidR="00A1279A" w:rsidRPr="00F8097F" w:rsidRDefault="00A1279A" w:rsidP="002F5BD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8097F">
              <w:rPr>
                <w:b/>
                <w:sz w:val="18"/>
                <w:szCs w:val="18"/>
              </w:rPr>
              <w:t xml:space="preserve">Identifikace </w:t>
            </w:r>
            <w:r w:rsidRPr="00F8097F">
              <w:rPr>
                <w:b/>
                <w:sz w:val="18"/>
                <w:szCs w:val="18"/>
              </w:rPr>
              <w:br/>
              <w:t>zkušebního postupu</w:t>
            </w:r>
            <w:r w:rsidRPr="00FE3306">
              <w:rPr>
                <w:b/>
                <w:sz w:val="18"/>
                <w:szCs w:val="18"/>
              </w:rPr>
              <w:t xml:space="preserve"> /</w:t>
            </w:r>
            <w:r w:rsidRPr="00004819">
              <w:rPr>
                <w:b/>
                <w:sz w:val="18"/>
                <w:szCs w:val="18"/>
              </w:rPr>
              <w:t xml:space="preserve"> metody</w:t>
            </w:r>
            <w:r w:rsidRPr="003A32C2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F93313" w14:textId="77777777" w:rsidR="00A1279A" w:rsidRDefault="00A1279A" w:rsidP="002F5BD3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  <w:tc>
          <w:tcPr>
            <w:tcW w:w="967" w:type="dxa"/>
            <w:tcBorders>
              <w:top w:val="double" w:sz="4" w:space="0" w:color="auto"/>
              <w:bottom w:val="double" w:sz="4" w:space="0" w:color="auto"/>
            </w:tcBorders>
          </w:tcPr>
          <w:p w14:paraId="1F2926F0" w14:textId="77777777" w:rsidR="00A1279A" w:rsidRDefault="00A1279A" w:rsidP="002F5BD3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 w:rsidRPr="00B07B93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A1279A" w14:paraId="1E59DB21" w14:textId="77777777" w:rsidTr="002F5BD3">
        <w:trPr>
          <w:cantSplit/>
          <w:jc w:val="center"/>
        </w:trPr>
        <w:tc>
          <w:tcPr>
            <w:tcW w:w="880" w:type="dxa"/>
            <w:tcBorders>
              <w:top w:val="double" w:sz="4" w:space="0" w:color="auto"/>
              <w:bottom w:val="single" w:sz="4" w:space="0" w:color="auto"/>
            </w:tcBorders>
          </w:tcPr>
          <w:p w14:paraId="688C567F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  <w:bottom w:val="single" w:sz="4" w:space="0" w:color="auto"/>
            </w:tcBorders>
          </w:tcPr>
          <w:p w14:paraId="6ADF296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CO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, SO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NO</w:t>
            </w:r>
            <w:r w:rsidRPr="007805FC">
              <w:rPr>
                <w:sz w:val="22"/>
                <w:szCs w:val="22"/>
                <w:vertAlign w:val="subscript"/>
              </w:rPr>
              <w:t>x</w:t>
            </w:r>
            <w:proofErr w:type="spellEnd"/>
            <w:r w:rsidRPr="007805FC">
              <w:rPr>
                <w:sz w:val="22"/>
                <w:szCs w:val="22"/>
              </w:rPr>
              <w:t>, CO automatizovanými analyzátory (NDIR)</w:t>
            </w:r>
          </w:p>
        </w:tc>
        <w:tc>
          <w:tcPr>
            <w:tcW w:w="2836" w:type="dxa"/>
            <w:tcBorders>
              <w:top w:val="double" w:sz="4" w:space="0" w:color="auto"/>
              <w:bottom w:val="single" w:sz="4" w:space="0" w:color="auto"/>
            </w:tcBorders>
          </w:tcPr>
          <w:p w14:paraId="0E44BB3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VECS 001, čl. 2, 4 až 6 </w:t>
            </w:r>
          </w:p>
          <w:p w14:paraId="7DCE586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7935;</w:t>
            </w:r>
          </w:p>
          <w:p w14:paraId="7021A50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10849;</w:t>
            </w:r>
          </w:p>
          <w:p w14:paraId="55C5007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15058;</w:t>
            </w:r>
          </w:p>
          <w:p w14:paraId="01AED57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P CEN/TS 17405;</w:t>
            </w:r>
          </w:p>
          <w:p w14:paraId="2B408EC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21258)</w:t>
            </w:r>
          </w:p>
        </w:tc>
        <w:tc>
          <w:tcPr>
            <w:tcW w:w="2720" w:type="dxa"/>
            <w:tcBorders>
              <w:top w:val="double" w:sz="4" w:space="0" w:color="auto"/>
              <w:bottom w:val="single" w:sz="4" w:space="0" w:color="auto"/>
            </w:tcBorders>
          </w:tcPr>
          <w:p w14:paraId="66B2198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double" w:sz="4" w:space="0" w:color="auto"/>
              <w:bottom w:val="single" w:sz="4" w:space="0" w:color="auto"/>
            </w:tcBorders>
          </w:tcPr>
          <w:p w14:paraId="598A011F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96F7989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83844C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1B42EB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oxidů dusíku (</w:t>
            </w:r>
            <w:proofErr w:type="spellStart"/>
            <w:r w:rsidRPr="007805FC">
              <w:rPr>
                <w:sz w:val="22"/>
                <w:szCs w:val="22"/>
              </w:rPr>
              <w:t>NO</w:t>
            </w:r>
            <w:r w:rsidRPr="007805FC">
              <w:rPr>
                <w:sz w:val="22"/>
                <w:szCs w:val="22"/>
                <w:vertAlign w:val="subscript"/>
              </w:rPr>
              <w:t>x</w:t>
            </w:r>
            <w:proofErr w:type="spellEnd"/>
            <w:r w:rsidRPr="007805FC">
              <w:rPr>
                <w:sz w:val="22"/>
                <w:szCs w:val="22"/>
              </w:rPr>
              <w:t>) automatizovanými analyzátory (chemiluminiscence)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870C57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005</w:t>
            </w:r>
          </w:p>
          <w:p w14:paraId="3954862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14792)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7AAA6B4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6E2E4C6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31B7C006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496757B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B25BB2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kyslíku (O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) automatizovaným analyzátorem (paramagnetická metoda)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189042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001, čl. 3</w:t>
            </w:r>
          </w:p>
          <w:p w14:paraId="10724A1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14789)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B90B44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9613840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65290998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14E78A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4*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5E2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úhrnné hmotnostní koncentrace organických látek vyjádřených jako celkový organický uhlík (TOC) automatizovanými analyzátory (FID)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6C13884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007</w:t>
            </w:r>
          </w:p>
          <w:p w14:paraId="5DA1EFD3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12619)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87A639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A4C88CD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8EF54D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262066D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5</w:t>
            </w:r>
            <w:r w:rsidRPr="007805FC">
              <w:rPr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D674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tuhých znečišťujících látek (gravimetrie)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28EF291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003</w:t>
            </w:r>
          </w:p>
          <w:p w14:paraId="70FC893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13284-1)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3296D4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7523CB3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68D3F482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0960C87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6*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B63D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Stanovení vlhkosti (metoda kondenzační a absorpční, kapacitní čidlo) 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DE23647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VECO 001</w:t>
            </w:r>
          </w:p>
          <w:p w14:paraId="0A490F5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14790)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FDE7CB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564030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13284126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658137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7*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BEEA55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tlaků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941BD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VECO 002</w:t>
            </w:r>
          </w:p>
          <w:p w14:paraId="6E6BA84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10780)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33249E7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Emise, vnější ovzduší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EE004E3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60EBA09D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A5809A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lastRenderedPageBreak/>
              <w:t>8*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E76092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teploty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A08B1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VECO 003</w:t>
            </w:r>
          </w:p>
          <w:p w14:paraId="503C3AF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25 8010:1989)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31AE758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Emise, vnější ovzduší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CDEF863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68BD4B67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A7D9F25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9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04F2EC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obsahu popela gravimetricky, stanovení obsahu hořlaviny (</w:t>
            </w:r>
            <w:proofErr w:type="spellStart"/>
            <w:r w:rsidRPr="007805FC">
              <w:rPr>
                <w:sz w:val="22"/>
                <w:szCs w:val="22"/>
              </w:rPr>
              <w:t>nedopalu</w:t>
            </w:r>
            <w:proofErr w:type="spellEnd"/>
            <w:r w:rsidRPr="007805FC">
              <w:rPr>
                <w:sz w:val="22"/>
                <w:szCs w:val="22"/>
              </w:rPr>
              <w:t>) dopočtem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8C33895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VECO 004, mimo kap. 6</w:t>
            </w:r>
          </w:p>
          <w:p w14:paraId="445E51E5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1171;</w:t>
            </w:r>
          </w:p>
          <w:p w14:paraId="717886A5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21656;</w:t>
            </w:r>
          </w:p>
          <w:p w14:paraId="37D25A9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18122)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1BE9DCA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paliva, tuhé zbytky po spalování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5C38474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2A00608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029299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10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ABECBC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Stanovení obsahu popela </w:t>
            </w:r>
            <w:proofErr w:type="spellStart"/>
            <w:r w:rsidRPr="007805FC">
              <w:rPr>
                <w:sz w:val="22"/>
                <w:szCs w:val="22"/>
              </w:rPr>
              <w:t>termogravimetricky</w:t>
            </w:r>
            <w:proofErr w:type="spellEnd"/>
            <w:r w:rsidRPr="007805FC">
              <w:rPr>
                <w:sz w:val="22"/>
                <w:szCs w:val="22"/>
              </w:rPr>
              <w:t>, stanovení obsahu hořlaviny (</w:t>
            </w:r>
            <w:proofErr w:type="spellStart"/>
            <w:r w:rsidRPr="007805FC">
              <w:rPr>
                <w:sz w:val="22"/>
                <w:szCs w:val="22"/>
              </w:rPr>
              <w:t>nedopalu</w:t>
            </w:r>
            <w:proofErr w:type="spellEnd"/>
            <w:r w:rsidRPr="007805FC">
              <w:rPr>
                <w:sz w:val="22"/>
                <w:szCs w:val="22"/>
              </w:rPr>
              <w:t>) dopočtem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49D579C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VECO 004, kap. 6</w:t>
            </w:r>
          </w:p>
          <w:p w14:paraId="4336B0DF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1171;</w:t>
            </w:r>
          </w:p>
          <w:p w14:paraId="242C3381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21656;</w:t>
            </w:r>
          </w:p>
          <w:p w14:paraId="4EC0A33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18122)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4F418C0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paliva, tuhé zbytky po spalování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20A4F036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67F23D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0144683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11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4E1CEC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obsahu vody gravimetricky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5C5A0AE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VECO 005, mimo kap. 6</w:t>
            </w:r>
          </w:p>
          <w:p w14:paraId="09B1D6CE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44 1377;</w:t>
            </w:r>
          </w:p>
          <w:p w14:paraId="068A5B08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579;</w:t>
            </w:r>
          </w:p>
          <w:p w14:paraId="04D2EC3F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687;</w:t>
            </w:r>
          </w:p>
          <w:p w14:paraId="2ABDD20E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18134-2;</w:t>
            </w:r>
          </w:p>
          <w:p w14:paraId="4F301A28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18134-3;</w:t>
            </w:r>
          </w:p>
          <w:p w14:paraId="03685DC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ČSN P CEN/TS 15414-2; </w:t>
            </w:r>
          </w:p>
          <w:p w14:paraId="55E26EB0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21660-3)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6ABD362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paliva, tuhé zbytky po spalování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7D30BF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437F3D0D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68E43E0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12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ACEA35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Stanovení obsahu vody </w:t>
            </w:r>
            <w:proofErr w:type="spellStart"/>
            <w:r w:rsidRPr="007805FC">
              <w:rPr>
                <w:sz w:val="22"/>
                <w:szCs w:val="22"/>
              </w:rPr>
              <w:t>termogravimetricky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45D3EF0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VECO 005, kap. 6</w:t>
            </w:r>
          </w:p>
          <w:p w14:paraId="08443A1C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44 1377;</w:t>
            </w:r>
          </w:p>
          <w:p w14:paraId="3C75EB23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579;</w:t>
            </w:r>
          </w:p>
          <w:p w14:paraId="12CA6294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687;</w:t>
            </w:r>
          </w:p>
          <w:p w14:paraId="79347877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18134-2;</w:t>
            </w:r>
          </w:p>
          <w:p w14:paraId="6CFE6FF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18134-3;</w:t>
            </w:r>
          </w:p>
          <w:p w14:paraId="781AC8A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P CEN/TS 15414-2;</w:t>
            </w:r>
          </w:p>
          <w:p w14:paraId="36915C4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21660-3)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18D078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paliva, tuhé zbytky po spalování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A6583D5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41D1C3E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355E352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13*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E767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rychlosti a objemového průtoku plynu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282A1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008</w:t>
            </w:r>
          </w:p>
          <w:p w14:paraId="1A2A091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10780)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59ABB6C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2B90FBEA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7A1FE86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BD1675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14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749E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perzistentních organických látek (PCDD/PCDF, PCB, PAH) výpočtem z naměřených hodnot</w:t>
            </w:r>
            <w:r w:rsidRPr="007805FC">
              <w:rPr>
                <w:iCs/>
                <w:sz w:val="22"/>
                <w:szCs w:val="22"/>
                <w:vertAlign w:val="superscript"/>
              </w:rPr>
              <w:t>4</w:t>
            </w:r>
            <w:r w:rsidRPr="00780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A5B0B12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009</w:t>
            </w:r>
          </w:p>
          <w:p w14:paraId="51C4777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1948-1;</w:t>
            </w:r>
          </w:p>
          <w:p w14:paraId="79273C4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1948-4+A1;</w:t>
            </w:r>
          </w:p>
          <w:p w14:paraId="7141921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ISO 11338-1)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7B8F66A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76137AF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0934784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CAE6599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15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C6F6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Stanovení hmotnostní koncentrace As, Cd, </w:t>
            </w:r>
            <w:proofErr w:type="spellStart"/>
            <w:r w:rsidRPr="007805FC">
              <w:rPr>
                <w:sz w:val="22"/>
                <w:szCs w:val="22"/>
              </w:rPr>
              <w:t>Cr</w:t>
            </w:r>
            <w:proofErr w:type="spellEnd"/>
            <w:r w:rsidRPr="007805FC">
              <w:rPr>
                <w:sz w:val="22"/>
                <w:szCs w:val="22"/>
              </w:rPr>
              <w:t xml:space="preserve">, Co, </w:t>
            </w:r>
            <w:proofErr w:type="spellStart"/>
            <w:r w:rsidRPr="007805FC">
              <w:rPr>
                <w:sz w:val="22"/>
                <w:szCs w:val="22"/>
              </w:rPr>
              <w:t>Cu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Mn</w:t>
            </w:r>
            <w:proofErr w:type="spellEnd"/>
            <w:r w:rsidRPr="007805FC">
              <w:rPr>
                <w:sz w:val="22"/>
                <w:szCs w:val="22"/>
              </w:rPr>
              <w:t xml:space="preserve">, Ni, </w:t>
            </w:r>
            <w:proofErr w:type="spellStart"/>
            <w:r w:rsidRPr="007805FC">
              <w:rPr>
                <w:sz w:val="22"/>
                <w:szCs w:val="22"/>
              </w:rPr>
              <w:t>Pb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Sb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Tl</w:t>
            </w:r>
            <w:proofErr w:type="spellEnd"/>
            <w:r w:rsidRPr="007805FC">
              <w:rPr>
                <w:sz w:val="22"/>
                <w:szCs w:val="22"/>
              </w:rPr>
              <w:t xml:space="preserve">, V, </w:t>
            </w:r>
            <w:proofErr w:type="spellStart"/>
            <w:r w:rsidRPr="007805FC">
              <w:rPr>
                <w:sz w:val="22"/>
                <w:szCs w:val="22"/>
              </w:rPr>
              <w:t>Hg</w:t>
            </w:r>
            <w:proofErr w:type="spellEnd"/>
            <w:r w:rsidRPr="007805FC">
              <w:rPr>
                <w:sz w:val="22"/>
                <w:szCs w:val="22"/>
              </w:rPr>
              <w:t xml:space="preserve"> výpočtem z naměřených hodnot</w:t>
            </w:r>
            <w:r w:rsidRPr="007805FC">
              <w:rPr>
                <w:sz w:val="22"/>
                <w:szCs w:val="22"/>
                <w:vertAlign w:val="superscript"/>
              </w:rPr>
              <w:t>4</w:t>
            </w:r>
            <w:r w:rsidRPr="00780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5CBA86C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010</w:t>
            </w:r>
          </w:p>
          <w:p w14:paraId="510932CA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14385;</w:t>
            </w:r>
          </w:p>
          <w:p w14:paraId="68EE5D60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13211)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1B811E9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37F6437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6C9A0EE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CF6537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16</w:t>
            </w:r>
            <w:r w:rsidRPr="007805FC">
              <w:rPr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DE89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plynů a par (</w:t>
            </w:r>
            <w:proofErr w:type="spellStart"/>
            <w:r w:rsidRPr="007805FC">
              <w:rPr>
                <w:sz w:val="22"/>
                <w:szCs w:val="22"/>
              </w:rPr>
              <w:t>HCl</w:t>
            </w:r>
            <w:proofErr w:type="spellEnd"/>
            <w:r w:rsidRPr="007805FC">
              <w:rPr>
                <w:sz w:val="22"/>
                <w:szCs w:val="22"/>
              </w:rPr>
              <w:t>, HF, SO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, amoniak) výpočtem z naměřených hodnot</w:t>
            </w:r>
            <w:r w:rsidRPr="007805FC">
              <w:rPr>
                <w:iCs/>
                <w:sz w:val="22"/>
                <w:szCs w:val="22"/>
                <w:vertAlign w:val="superscript"/>
              </w:rPr>
              <w:t>4</w:t>
            </w:r>
            <w:r w:rsidRPr="00780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201685C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011</w:t>
            </w:r>
          </w:p>
          <w:p w14:paraId="1B0D7A66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1911;</w:t>
            </w:r>
          </w:p>
          <w:p w14:paraId="6F1D60E3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P CEN/TS 17340;</w:t>
            </w:r>
          </w:p>
          <w:p w14:paraId="551AC964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14791;</w:t>
            </w:r>
          </w:p>
          <w:p w14:paraId="7FACF4F0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83 4728-1)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93DA5C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D0EAB2D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534068D4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02FC485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lastRenderedPageBreak/>
              <w:t>17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2F81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těkavých organických látek (VOC) výpočtem z naměřených hodnot</w:t>
            </w:r>
            <w:r w:rsidRPr="007805FC">
              <w:rPr>
                <w:iCs/>
                <w:sz w:val="22"/>
                <w:szCs w:val="22"/>
                <w:vertAlign w:val="superscript"/>
              </w:rPr>
              <w:t>4</w:t>
            </w:r>
            <w:r w:rsidRPr="00780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8452330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012</w:t>
            </w:r>
          </w:p>
          <w:p w14:paraId="7F63BA2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P CEN/TS 13649)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FEA7D6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51DAD594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C0F7130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9027397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18*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E195B3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hmotnostní koncentrace CO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, SO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NO</w:t>
            </w:r>
            <w:r w:rsidRPr="007805FC">
              <w:rPr>
                <w:sz w:val="22"/>
                <w:szCs w:val="22"/>
                <w:vertAlign w:val="subscript"/>
              </w:rPr>
              <w:t>x</w:t>
            </w:r>
            <w:proofErr w:type="spellEnd"/>
            <w:r w:rsidRPr="007805FC">
              <w:rPr>
                <w:sz w:val="22"/>
                <w:szCs w:val="22"/>
              </w:rPr>
              <w:t>, CO, H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O, TOC, N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O, NO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HCl</w:t>
            </w:r>
            <w:proofErr w:type="spellEnd"/>
            <w:r w:rsidRPr="007805FC">
              <w:rPr>
                <w:sz w:val="22"/>
                <w:szCs w:val="22"/>
              </w:rPr>
              <w:t>, HF, NH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</w:rPr>
              <w:t xml:space="preserve"> a SO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</w:rPr>
              <w:t xml:space="preserve"> automatizovanými analyzátory (FTIR)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DCE4F3C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013</w:t>
            </w:r>
          </w:p>
          <w:p w14:paraId="7EC29858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(EPA </w:t>
            </w:r>
            <w:proofErr w:type="spellStart"/>
            <w:r w:rsidRPr="007805FC">
              <w:rPr>
                <w:sz w:val="22"/>
                <w:szCs w:val="22"/>
              </w:rPr>
              <w:t>Method</w:t>
            </w:r>
            <w:proofErr w:type="spellEnd"/>
            <w:r w:rsidRPr="007805FC">
              <w:rPr>
                <w:sz w:val="22"/>
                <w:szCs w:val="22"/>
              </w:rPr>
              <w:t xml:space="preserve"> 320;</w:t>
            </w:r>
          </w:p>
          <w:p w14:paraId="0A5B693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P CEN/TS 17337)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6FE06FE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0327DC4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6FA8DE4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77625F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19*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C35F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vlhkosti směsi a hmotnostní koncentrace amoniaku (NH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</w:rPr>
              <w:t>) automatizovaným analyzátorem (TDLS)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5CE796E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014</w:t>
            </w:r>
          </w:p>
          <w:p w14:paraId="7D1535B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10155;</w:t>
            </w:r>
          </w:p>
          <w:p w14:paraId="31BBB07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Manuál analyzátoru SICK GME 700-091)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86E65A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0E3DB080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4CD5CE8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C63A049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20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508D26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obsahu prchavé hořlaviny gravimetricky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BC67A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VECL 001</w:t>
            </w:r>
          </w:p>
          <w:p w14:paraId="7D7A1E18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562;</w:t>
            </w:r>
          </w:p>
          <w:p w14:paraId="50E16E83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5071-1;</w:t>
            </w:r>
          </w:p>
          <w:p w14:paraId="735971BA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18123;</w:t>
            </w:r>
          </w:p>
          <w:p w14:paraId="496CDA1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22167)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6FF879F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2A6B634D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13961D8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5722B9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21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7FFFF4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spalného tepla kalorimetricky a dopočet výhřevnosti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2F10716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VECL 002</w:t>
            </w:r>
          </w:p>
          <w:p w14:paraId="73A9849F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1928;</w:t>
            </w:r>
          </w:p>
          <w:p w14:paraId="4951B95B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18125;</w:t>
            </w:r>
          </w:p>
          <w:p w14:paraId="5F40B0B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21654)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4FC7984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72A6A36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08DC93A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16B9F9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22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8D5608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uhlíku, vodíku, dusíku spalovací metodou s IR a TC detekcí plynných složek, stanovení kyslíku dopočtem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0CE4251C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VECL 003</w:t>
            </w:r>
          </w:p>
          <w:p w14:paraId="27705A65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29541;</w:t>
            </w:r>
          </w:p>
          <w:p w14:paraId="1C48A983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17247;</w:t>
            </w:r>
          </w:p>
          <w:p w14:paraId="2A9BD1BF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16948;</w:t>
            </w:r>
          </w:p>
          <w:p w14:paraId="36CA46FB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EN ISO 16948;</w:t>
            </w:r>
          </w:p>
          <w:p w14:paraId="0911E6AD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16993;</w:t>
            </w:r>
          </w:p>
          <w:p w14:paraId="0ECB2602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21663;</w:t>
            </w:r>
          </w:p>
          <w:p w14:paraId="227DE62E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EN ISO 21663;</w:t>
            </w:r>
          </w:p>
          <w:p w14:paraId="52F4492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44 1355)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0A834B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paliva, tuhé zbytky po spalování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FFB2380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6A963AFE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A6DB8AD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23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E52690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veškeré síry vysokoteplotní spalovací metodou s IR detekcí plynných složek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A94743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VECL 004</w:t>
            </w:r>
          </w:p>
          <w:p w14:paraId="1C3AEB5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19579;</w:t>
            </w:r>
          </w:p>
          <w:p w14:paraId="1B6383D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17247;</w:t>
            </w:r>
          </w:p>
          <w:p w14:paraId="53C6502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16993;</w:t>
            </w:r>
          </w:p>
          <w:p w14:paraId="79FEFCE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16994;</w:t>
            </w:r>
          </w:p>
          <w:p w14:paraId="463A18D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EN ISO 16994;</w:t>
            </w:r>
          </w:p>
          <w:p w14:paraId="3DD7DCF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21663;</w:t>
            </w:r>
          </w:p>
          <w:p w14:paraId="1D4539B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EN ISO 21663)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3C4D61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paliva, tuhé zbytky po spalování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156D0D5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5A65FFD0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2062044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lastRenderedPageBreak/>
              <w:t>24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B4B081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teplot tavitelnosti popela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882FEB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VECL 005</w:t>
            </w:r>
          </w:p>
          <w:p w14:paraId="1472F66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540;</w:t>
            </w:r>
          </w:p>
          <w:p w14:paraId="1964405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ISO 540;</w:t>
            </w:r>
          </w:p>
          <w:p w14:paraId="3604F870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21404;</w:t>
            </w:r>
          </w:p>
          <w:p w14:paraId="77BBA85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EN ISO 21404;</w:t>
            </w:r>
          </w:p>
          <w:p w14:paraId="75351E2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TNI CEN/TR 15404;</w:t>
            </w:r>
          </w:p>
          <w:p w14:paraId="11D2288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color w:val="000000"/>
                <w:sz w:val="22"/>
                <w:szCs w:val="22"/>
              </w:rPr>
              <w:t>CEN/TR 15404)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466916E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paliva, tuhá biopaliva, tuhá alternativní paliva, tuhé zbytky po spalování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8A0C302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792A66E2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1613B179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25*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C8C197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celkové hmotnostní koncentrace rtuti (</w:t>
            </w:r>
            <w:proofErr w:type="spellStart"/>
            <w:r w:rsidRPr="007805FC">
              <w:rPr>
                <w:sz w:val="22"/>
                <w:szCs w:val="22"/>
              </w:rPr>
              <w:t>Hg</w:t>
            </w:r>
            <w:proofErr w:type="spellEnd"/>
            <w:r w:rsidRPr="007805FC">
              <w:rPr>
                <w:sz w:val="22"/>
                <w:szCs w:val="22"/>
              </w:rPr>
              <w:t>) v plynné fázi automatizovaným analyzátorem (CVAAS)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5B8DD83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015</w:t>
            </w:r>
          </w:p>
          <w:p w14:paraId="5016E62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14884)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1988078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294FFEA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522AF48D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AB9D2C0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26</w:t>
            </w:r>
            <w:r w:rsidRPr="007805FC">
              <w:rPr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5D70A4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maximálního výbuchového tlaku, maximální rychlosti nárůstu tlaku, dolní meze a mezní koncentrace kyslíku rozvířeného prachu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5B15F2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VECB 002</w:t>
            </w:r>
          </w:p>
          <w:p w14:paraId="109BC7E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14034-1+A1;</w:t>
            </w:r>
          </w:p>
          <w:p w14:paraId="43511BB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14034-2+A1;</w:t>
            </w:r>
          </w:p>
          <w:p w14:paraId="19A064A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14034-3+A1;</w:t>
            </w:r>
          </w:p>
          <w:p w14:paraId="3941AD6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14034-4+A1)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7A67A1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Prachové disperze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8A5F814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352E5C16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54F4A48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27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4858D10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maximálního výbuchového tlaku a maximální rychlosti nárůstu tlaku plynů a par kapalin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258727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VECB 003</w:t>
            </w:r>
          </w:p>
          <w:p w14:paraId="662BB5B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15967)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35E704B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Plyny a páry kapalin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AAC0AF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4EB47396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E8F794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28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12B947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horní a dolní meze výbušnosti plynů a par kapalin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2FEBA1FA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VECB 004</w:t>
            </w:r>
          </w:p>
          <w:p w14:paraId="7DB1BA5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1839, čl. 4.5.2)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645FF6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Plyny a páry kapalin 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666513C6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1A605C92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BC32777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29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8CE089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mezní koncentrace kyslíku pro hořlavé plyny a páry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32CC5E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VECB 005</w:t>
            </w:r>
          </w:p>
          <w:p w14:paraId="47B0ED1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1839, čl.4.5.3)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69851BD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Plyny a páry kapalin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28B058A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365D948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DCC13EB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30*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925182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Prokazování kvality automatizovaných měřicích systémů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F1B8A46" w14:textId="77777777" w:rsidR="00A1279A" w:rsidRPr="007805FC" w:rsidRDefault="00A1279A" w:rsidP="002F5BD3">
            <w:pPr>
              <w:spacing w:before="40" w:after="20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016</w:t>
            </w:r>
          </w:p>
          <w:p w14:paraId="1E94629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14181, čl. 6 QAL2, čl. 8 AST)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3D9624E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Emisní automatizované měřicí systémy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413602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1B58D8EE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F172A39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31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6BBB53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sypné hmotnosti použitím odměrné nádoby gravimetricky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48130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VECL 006</w:t>
            </w:r>
          </w:p>
          <w:p w14:paraId="057CBF8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ISO 17828;</w:t>
            </w:r>
          </w:p>
          <w:p w14:paraId="1DCC03D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P CEN/TS 15401)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36BB531A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biopaliva, tuhá alternativní paliva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B6FCEA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31EB8491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A86F5A2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32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68A132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rozdělení podle velikosti částic gravimetricky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A0DAE10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VECL 007</w:t>
            </w:r>
          </w:p>
          <w:p w14:paraId="59DB6F0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ISO 17827-2;</w:t>
            </w:r>
          </w:p>
          <w:p w14:paraId="524064B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15415-1)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B64D19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biopaliva, tuhá alternativní paliva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5CA6E05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48191A01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34984D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33</w:t>
            </w:r>
            <w:r w:rsidRPr="001E4116">
              <w:rPr>
                <w:sz w:val="22"/>
                <w:szCs w:val="22"/>
                <w:vertAlign w:val="superscript"/>
              </w:rPr>
              <w:t>1</w:t>
            </w:r>
            <w:r w:rsidRPr="007805FC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267A27F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čistoty H</w:t>
            </w:r>
            <w:r w:rsidRPr="007805FC">
              <w:rPr>
                <w:sz w:val="22"/>
                <w:szCs w:val="22"/>
                <w:vertAlign w:val="subscript"/>
              </w:rPr>
              <w:t xml:space="preserve">2 </w:t>
            </w:r>
            <w:r w:rsidRPr="007805FC">
              <w:rPr>
                <w:sz w:val="22"/>
                <w:szCs w:val="22"/>
              </w:rPr>
              <w:t>metodou OFCEAS, GC/MS a GC/TDC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75BEBD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017</w:t>
            </w:r>
          </w:p>
          <w:p w14:paraId="5C74AC3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</w:t>
            </w:r>
            <w:r w:rsidRPr="00165432">
              <w:rPr>
                <w:sz w:val="22"/>
                <w:szCs w:val="22"/>
              </w:rPr>
              <w:t>ČSN ISO 19880-</w:t>
            </w:r>
            <w:r>
              <w:rPr>
                <w:sz w:val="22"/>
                <w:szCs w:val="22"/>
              </w:rPr>
              <w:t>8</w:t>
            </w:r>
            <w:r w:rsidRPr="00165432">
              <w:rPr>
                <w:sz w:val="22"/>
                <w:szCs w:val="22"/>
              </w:rPr>
              <w:t>;</w:t>
            </w:r>
          </w:p>
          <w:p w14:paraId="0300A56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14687)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4AD578C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Vodík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A87D59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08E777DF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06077BC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34</w:t>
            </w:r>
            <w:r w:rsidRPr="001E4116">
              <w:rPr>
                <w:sz w:val="22"/>
                <w:szCs w:val="22"/>
                <w:vertAlign w:val="superscript"/>
              </w:rPr>
              <w:t>1</w:t>
            </w:r>
            <w:r w:rsidRPr="007805FC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6824F60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Gravimetrické stanovení čistoty H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6CFE8DB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  <w:highlight w:val="yellow"/>
              </w:rPr>
            </w:pPr>
            <w:r w:rsidRPr="007805FC">
              <w:rPr>
                <w:sz w:val="22"/>
                <w:szCs w:val="22"/>
              </w:rPr>
              <w:t>VECS 018</w:t>
            </w:r>
          </w:p>
          <w:p w14:paraId="7C8F309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19880-1;</w:t>
            </w:r>
          </w:p>
          <w:p w14:paraId="1C47266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ISO 14687)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7098533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Vodík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EBE62F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-</w:t>
            </w:r>
          </w:p>
        </w:tc>
      </w:tr>
      <w:tr w:rsidR="00A1279A" w14:paraId="5A11BE1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2EE6D32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lastRenderedPageBreak/>
              <w:t>35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7FDFE01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Stanovení Na, Mg, Al, Si, P, S, K, Ca, Ti, </w:t>
            </w:r>
            <w:proofErr w:type="spellStart"/>
            <w:r w:rsidRPr="007805FC">
              <w:rPr>
                <w:sz w:val="22"/>
                <w:szCs w:val="22"/>
              </w:rPr>
              <w:t>Fe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Mn</w:t>
            </w:r>
            <w:proofErr w:type="spellEnd"/>
            <w:r w:rsidRPr="007805FC">
              <w:rPr>
                <w:sz w:val="22"/>
                <w:szCs w:val="22"/>
              </w:rPr>
              <w:t xml:space="preserve">, Cl, V, </w:t>
            </w:r>
            <w:proofErr w:type="spellStart"/>
            <w:r w:rsidRPr="007805FC">
              <w:rPr>
                <w:sz w:val="22"/>
                <w:szCs w:val="22"/>
              </w:rPr>
              <w:t>Cr</w:t>
            </w:r>
            <w:proofErr w:type="spellEnd"/>
            <w:r w:rsidRPr="007805FC">
              <w:rPr>
                <w:sz w:val="22"/>
                <w:szCs w:val="22"/>
              </w:rPr>
              <w:t xml:space="preserve">, Co, Ni, </w:t>
            </w:r>
            <w:proofErr w:type="spellStart"/>
            <w:r w:rsidRPr="007805FC">
              <w:rPr>
                <w:sz w:val="22"/>
                <w:szCs w:val="22"/>
              </w:rPr>
              <w:t>Cu</w:t>
            </w:r>
            <w:proofErr w:type="spellEnd"/>
            <w:r w:rsidRPr="007805FC">
              <w:rPr>
                <w:sz w:val="22"/>
                <w:szCs w:val="22"/>
              </w:rPr>
              <w:t xml:space="preserve">, Zn, </w:t>
            </w:r>
            <w:proofErr w:type="spellStart"/>
            <w:r w:rsidRPr="007805FC">
              <w:rPr>
                <w:sz w:val="22"/>
                <w:szCs w:val="22"/>
              </w:rPr>
              <w:t>Ga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Ge</w:t>
            </w:r>
            <w:proofErr w:type="spellEnd"/>
            <w:r w:rsidRPr="007805FC">
              <w:rPr>
                <w:sz w:val="22"/>
                <w:szCs w:val="22"/>
              </w:rPr>
              <w:t xml:space="preserve">, As, Se, Br, </w:t>
            </w:r>
            <w:proofErr w:type="spellStart"/>
            <w:r w:rsidRPr="007805FC">
              <w:rPr>
                <w:sz w:val="22"/>
                <w:szCs w:val="22"/>
              </w:rPr>
              <w:t>Rb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Sr</w:t>
            </w:r>
            <w:proofErr w:type="spellEnd"/>
            <w:r w:rsidRPr="007805FC">
              <w:rPr>
                <w:sz w:val="22"/>
                <w:szCs w:val="22"/>
              </w:rPr>
              <w:t xml:space="preserve">, Y, </w:t>
            </w:r>
            <w:proofErr w:type="spellStart"/>
            <w:r w:rsidRPr="007805FC">
              <w:rPr>
                <w:sz w:val="22"/>
                <w:szCs w:val="22"/>
              </w:rPr>
              <w:t>Zr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Nb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Mo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Ag</w:t>
            </w:r>
            <w:proofErr w:type="spellEnd"/>
            <w:r w:rsidRPr="007805FC">
              <w:rPr>
                <w:sz w:val="22"/>
                <w:szCs w:val="22"/>
              </w:rPr>
              <w:t xml:space="preserve">, Cd, In, </w:t>
            </w:r>
            <w:proofErr w:type="spellStart"/>
            <w:r w:rsidRPr="007805FC">
              <w:rPr>
                <w:sz w:val="22"/>
                <w:szCs w:val="22"/>
              </w:rPr>
              <w:t>Sn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Sb</w:t>
            </w:r>
            <w:proofErr w:type="spellEnd"/>
            <w:r w:rsidRPr="007805FC">
              <w:rPr>
                <w:sz w:val="22"/>
                <w:szCs w:val="22"/>
              </w:rPr>
              <w:t xml:space="preserve">, Te, I, Cs, Ba, La, </w:t>
            </w:r>
            <w:proofErr w:type="spellStart"/>
            <w:r w:rsidRPr="007805FC">
              <w:rPr>
                <w:sz w:val="22"/>
                <w:szCs w:val="22"/>
              </w:rPr>
              <w:t>Ce</w:t>
            </w:r>
            <w:proofErr w:type="spellEnd"/>
            <w:r w:rsidRPr="007805FC">
              <w:rPr>
                <w:sz w:val="22"/>
                <w:szCs w:val="22"/>
              </w:rPr>
              <w:t xml:space="preserve">, Ta, W, </w:t>
            </w:r>
            <w:proofErr w:type="spellStart"/>
            <w:r w:rsidRPr="007805FC">
              <w:rPr>
                <w:sz w:val="22"/>
                <w:szCs w:val="22"/>
              </w:rPr>
              <w:t>Hg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Tl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Pb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Bi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Th</w:t>
            </w:r>
            <w:proofErr w:type="spellEnd"/>
            <w:r w:rsidRPr="007805FC">
              <w:rPr>
                <w:sz w:val="22"/>
                <w:szCs w:val="22"/>
              </w:rPr>
              <w:t xml:space="preserve"> a U metodou XRFS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AA3E24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024</w:t>
            </w:r>
          </w:p>
          <w:p w14:paraId="0C2C085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(Návod k přístroji </w:t>
            </w:r>
            <w:proofErr w:type="spellStart"/>
            <w:r w:rsidRPr="007805FC">
              <w:rPr>
                <w:sz w:val="22"/>
                <w:szCs w:val="22"/>
              </w:rPr>
              <w:t>Spectro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05FC">
              <w:rPr>
                <w:sz w:val="22"/>
                <w:szCs w:val="22"/>
              </w:rPr>
              <w:t>Xepos</w:t>
            </w:r>
            <w:proofErr w:type="spellEnd"/>
            <w:r w:rsidRPr="007805FC">
              <w:rPr>
                <w:sz w:val="22"/>
                <w:szCs w:val="22"/>
              </w:rPr>
              <w:t>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1049EAC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Zeminy, sedimenty z vodních toků a nádrží, tuhá paliva, stavební a silikátové materiály, odpady ze spalování tuhých paliv, odpady z výroby a zpracování železa, odpady stavebních materiálů, odvaly z důlní činnosti, emise – filtrační média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7EC1561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A, B, D</w:t>
            </w:r>
          </w:p>
        </w:tc>
      </w:tr>
      <w:tr w:rsidR="00A1279A" w14:paraId="3C4ED2F6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75B5BE6F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36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85798D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Stanovení </w:t>
            </w:r>
            <w:proofErr w:type="spellStart"/>
            <w:r w:rsidRPr="007805FC">
              <w:rPr>
                <w:sz w:val="22"/>
                <w:szCs w:val="22"/>
              </w:rPr>
              <w:t>polykondenzovaných</w:t>
            </w:r>
            <w:proofErr w:type="spellEnd"/>
            <w:r w:rsidRPr="007805FC">
              <w:rPr>
                <w:sz w:val="22"/>
                <w:szCs w:val="22"/>
              </w:rPr>
              <w:t xml:space="preserve"> aromatických uhlovodíků metodou HPLC/PDA/FLD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33904FE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022</w:t>
            </w:r>
          </w:p>
          <w:p w14:paraId="4255D67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(US EPA metoda 8310;</w:t>
            </w:r>
          </w:p>
          <w:p w14:paraId="721157A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US EPA TO 13)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1E5C023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Oplachové roztoky, filtry a pevné sorbenty z měření emisí, imisí a pracovního prostředí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4ACD2D47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A, B, D</w:t>
            </w:r>
          </w:p>
        </w:tc>
      </w:tr>
      <w:tr w:rsidR="00A1279A" w14:paraId="79DB149E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36FFFCD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37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1594676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těkavých organických látek metodou plynové chromatografie (GC/MS)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950A2D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023</w:t>
            </w:r>
          </w:p>
          <w:p w14:paraId="25837DE0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(US EPA metoda 8240;</w:t>
            </w:r>
          </w:p>
          <w:p w14:paraId="4080D2B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návod k přístroji Termická</w:t>
            </w:r>
            <w:r>
              <w:rPr>
                <w:sz w:val="22"/>
                <w:szCs w:val="22"/>
              </w:rPr>
              <w:t xml:space="preserve"> </w:t>
            </w:r>
            <w:r w:rsidRPr="007805FC">
              <w:rPr>
                <w:sz w:val="22"/>
                <w:szCs w:val="22"/>
              </w:rPr>
              <w:t xml:space="preserve">desorpce </w:t>
            </w:r>
            <w:proofErr w:type="spellStart"/>
            <w:r w:rsidRPr="007805FC">
              <w:rPr>
                <w:sz w:val="22"/>
                <w:szCs w:val="22"/>
              </w:rPr>
              <w:t>Perkin</w:t>
            </w:r>
            <w:proofErr w:type="spellEnd"/>
            <w:r w:rsidRPr="007805FC">
              <w:rPr>
                <w:sz w:val="22"/>
                <w:szCs w:val="22"/>
              </w:rPr>
              <w:t xml:space="preserve"> Elmer)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2920963E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Pevné sorbenty z měření emisí, imisí a pracovního prostředí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6230813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A, B, D</w:t>
            </w:r>
          </w:p>
        </w:tc>
      </w:tr>
      <w:tr w:rsidR="00A1279A" w14:paraId="06998A4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4B2DD3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38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3CDD95D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uhlovodíků metodou plynové chromatografie (FID)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BCB4E6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019</w:t>
            </w:r>
          </w:p>
          <w:p w14:paraId="618B765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(US EPA metoda </w:t>
            </w:r>
            <w:proofErr w:type="gramStart"/>
            <w:r w:rsidRPr="007805FC">
              <w:rPr>
                <w:sz w:val="22"/>
                <w:szCs w:val="22"/>
              </w:rPr>
              <w:t>8015C</w:t>
            </w:r>
            <w:proofErr w:type="gramEnd"/>
            <w:r w:rsidRPr="007805FC">
              <w:rPr>
                <w:sz w:val="22"/>
                <w:szCs w:val="22"/>
              </w:rPr>
              <w:t>;</w:t>
            </w:r>
          </w:p>
          <w:p w14:paraId="3E47FF4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14039)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6B18796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Filtry a pevné sorbenty z měření emisí, imisí a pracovního prostředí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24F5D92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A, B, D</w:t>
            </w:r>
          </w:p>
        </w:tc>
      </w:tr>
      <w:tr w:rsidR="00A1279A" w14:paraId="1E0F0D9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B59E9EE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39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370352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aniontů metodou iontové chromatografie s vodivostní detekcí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12B36C3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020</w:t>
            </w:r>
          </w:p>
          <w:p w14:paraId="084B2E0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ISO 10304-1;</w:t>
            </w:r>
          </w:p>
          <w:p w14:paraId="4732B22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ISO 10304-3;</w:t>
            </w:r>
          </w:p>
          <w:p w14:paraId="7EE8EDDC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Aplikační listy Institute </w:t>
            </w:r>
            <w:proofErr w:type="spellStart"/>
            <w:r w:rsidRPr="007805FC">
              <w:rPr>
                <w:sz w:val="22"/>
                <w:szCs w:val="22"/>
              </w:rPr>
              <w:t>Fondazione</w:t>
            </w:r>
            <w:proofErr w:type="spellEnd"/>
            <w:r w:rsidRPr="007805FC">
              <w:rPr>
                <w:sz w:val="22"/>
                <w:szCs w:val="22"/>
              </w:rPr>
              <w:t xml:space="preserve"> Salvatore </w:t>
            </w:r>
            <w:proofErr w:type="spellStart"/>
            <w:r w:rsidRPr="007805FC">
              <w:rPr>
                <w:sz w:val="22"/>
                <w:szCs w:val="22"/>
              </w:rPr>
              <w:t>Maugeri</w:t>
            </w:r>
            <w:proofErr w:type="spellEnd"/>
            <w:r w:rsidRPr="007805FC">
              <w:rPr>
                <w:sz w:val="22"/>
                <w:szCs w:val="22"/>
              </w:rPr>
              <w:t>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48FA088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Vody odpadní, povrchové, </w:t>
            </w:r>
            <w:r w:rsidRPr="00165432">
              <w:rPr>
                <w:sz w:val="22"/>
                <w:szCs w:val="22"/>
              </w:rPr>
              <w:t>vodné roztoky</w:t>
            </w:r>
            <w:r w:rsidRPr="007805FC">
              <w:rPr>
                <w:sz w:val="22"/>
                <w:szCs w:val="22"/>
              </w:rPr>
              <w:t xml:space="preserve"> a výluhy, absorpční roztoky, výluhy ze sorpčních trubiček odběrů – emise, imise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3B25392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A, B, D</w:t>
            </w:r>
          </w:p>
        </w:tc>
      </w:tr>
      <w:tr w:rsidR="00A1279A" w14:paraId="1864B542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428889E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40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0B1F6A64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pH potenciometricky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F41416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026</w:t>
            </w:r>
          </w:p>
          <w:p w14:paraId="1576629C" w14:textId="77777777" w:rsidR="00A1279A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(ČSN ISO 10523; </w:t>
            </w:r>
          </w:p>
          <w:p w14:paraId="79B1C6D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12457-4)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34274ECD" w14:textId="77777777" w:rsidR="00A1279A" w:rsidRPr="00165432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65432">
              <w:rPr>
                <w:sz w:val="22"/>
                <w:szCs w:val="22"/>
              </w:rPr>
              <w:t>Vody pitné, povrchové, podzemní, odpadní a výluhy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6306D6A0" w14:textId="77777777" w:rsidR="00A1279A" w:rsidRPr="0057313A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57313A">
              <w:rPr>
                <w:sz w:val="22"/>
                <w:szCs w:val="22"/>
              </w:rPr>
              <w:t>A</w:t>
            </w:r>
          </w:p>
        </w:tc>
      </w:tr>
      <w:tr w:rsidR="00A1279A" w14:paraId="05267634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</w:tcPr>
          <w:p w14:paraId="6A8A657D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41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14:paraId="5A64554F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Stanovení amoniaku a amonných iontů indofenolovou metodou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56299CE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021</w:t>
            </w:r>
          </w:p>
          <w:p w14:paraId="1576192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(ČSN 835711; </w:t>
            </w:r>
          </w:p>
          <w:p w14:paraId="6EAF939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ČSN ISO 23695; </w:t>
            </w:r>
          </w:p>
          <w:p w14:paraId="60BE821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Aplikační listy Institute </w:t>
            </w:r>
            <w:proofErr w:type="spellStart"/>
            <w:r w:rsidRPr="007805FC">
              <w:rPr>
                <w:sz w:val="22"/>
                <w:szCs w:val="22"/>
              </w:rPr>
              <w:t>Fondazione</w:t>
            </w:r>
            <w:proofErr w:type="spellEnd"/>
            <w:r w:rsidRPr="007805FC">
              <w:rPr>
                <w:sz w:val="22"/>
                <w:szCs w:val="22"/>
              </w:rPr>
              <w:t xml:space="preserve"> Salvatore </w:t>
            </w:r>
            <w:proofErr w:type="spellStart"/>
            <w:r w:rsidRPr="007805FC">
              <w:rPr>
                <w:sz w:val="22"/>
                <w:szCs w:val="22"/>
              </w:rPr>
              <w:t>Maugeri</w:t>
            </w:r>
            <w:proofErr w:type="spellEnd"/>
            <w:r w:rsidRPr="007805FC">
              <w:rPr>
                <w:sz w:val="22"/>
                <w:szCs w:val="22"/>
              </w:rPr>
              <w:t>)</w:t>
            </w:r>
          </w:p>
        </w:tc>
        <w:tc>
          <w:tcPr>
            <w:tcW w:w="2720" w:type="dxa"/>
            <w:tcBorders>
              <w:top w:val="single" w:sz="4" w:space="0" w:color="auto"/>
              <w:bottom w:val="single" w:sz="4" w:space="0" w:color="auto"/>
            </w:tcBorders>
          </w:tcPr>
          <w:p w14:paraId="07928674" w14:textId="77777777" w:rsidR="00A1279A" w:rsidRPr="00165432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165432">
              <w:rPr>
                <w:sz w:val="22"/>
                <w:szCs w:val="22"/>
              </w:rPr>
              <w:t>Vody odpadní, říční, povrchové, vodné roztoky a výluhy, absorpční roztoky, výluhy ze sorpčních trubiček odběrů (emise, imise)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14:paraId="1B3CC38B" w14:textId="77777777" w:rsidR="00A1279A" w:rsidRPr="0057313A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57313A">
              <w:rPr>
                <w:sz w:val="22"/>
                <w:szCs w:val="22"/>
              </w:rPr>
              <w:t>A</w:t>
            </w:r>
          </w:p>
        </w:tc>
      </w:tr>
      <w:tr w:rsidR="00A1279A" w14:paraId="667E9523" w14:textId="77777777" w:rsidTr="002F5BD3">
        <w:trPr>
          <w:cantSplit/>
          <w:jc w:val="center"/>
        </w:trPr>
        <w:tc>
          <w:tcPr>
            <w:tcW w:w="880" w:type="dxa"/>
            <w:tcBorders>
              <w:top w:val="single" w:sz="4" w:space="0" w:color="auto"/>
              <w:bottom w:val="double" w:sz="4" w:space="0" w:color="auto"/>
            </w:tcBorders>
          </w:tcPr>
          <w:p w14:paraId="2F91600A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42</w:t>
            </w:r>
            <w:r w:rsidRPr="007805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bottom w:val="double" w:sz="4" w:space="0" w:color="auto"/>
            </w:tcBorders>
          </w:tcPr>
          <w:p w14:paraId="771E2D7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Stanovení obsahu chloru, fluoru a bromu </w:t>
            </w:r>
            <w:r>
              <w:rPr>
                <w:sz w:val="22"/>
                <w:szCs w:val="22"/>
              </w:rPr>
              <w:t xml:space="preserve">iontovou chromatografií </w:t>
            </w:r>
            <w:r w:rsidRPr="007805FC">
              <w:rPr>
                <w:sz w:val="22"/>
                <w:szCs w:val="22"/>
              </w:rPr>
              <w:t>po rozkladu v kalorimetrické bombě</w:t>
            </w:r>
          </w:p>
        </w:tc>
        <w:tc>
          <w:tcPr>
            <w:tcW w:w="2836" w:type="dxa"/>
            <w:tcBorders>
              <w:top w:val="single" w:sz="4" w:space="0" w:color="auto"/>
              <w:bottom w:val="double" w:sz="4" w:space="0" w:color="auto"/>
            </w:tcBorders>
          </w:tcPr>
          <w:p w14:paraId="5BC3BD5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VECS 025</w:t>
            </w:r>
          </w:p>
          <w:p w14:paraId="7F42D38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15408)</w:t>
            </w:r>
          </w:p>
        </w:tc>
        <w:tc>
          <w:tcPr>
            <w:tcW w:w="2720" w:type="dxa"/>
            <w:tcBorders>
              <w:top w:val="single" w:sz="4" w:space="0" w:color="auto"/>
              <w:bottom w:val="double" w:sz="4" w:space="0" w:color="auto"/>
            </w:tcBorders>
          </w:tcPr>
          <w:p w14:paraId="41B98243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a kapalná paliva, tuhá alternativní paliva, biomasa, biopaliva, odpady</w:t>
            </w:r>
          </w:p>
        </w:tc>
        <w:tc>
          <w:tcPr>
            <w:tcW w:w="967" w:type="dxa"/>
            <w:tcBorders>
              <w:top w:val="single" w:sz="4" w:space="0" w:color="auto"/>
              <w:bottom w:val="double" w:sz="4" w:space="0" w:color="auto"/>
            </w:tcBorders>
          </w:tcPr>
          <w:p w14:paraId="04C7226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A, B, D</w:t>
            </w:r>
          </w:p>
        </w:tc>
      </w:tr>
    </w:tbl>
    <w:p w14:paraId="212C5EDF" w14:textId="77777777" w:rsidR="00A1279A" w:rsidRPr="00D74292" w:rsidRDefault="00A1279A" w:rsidP="00A1279A">
      <w:pPr>
        <w:spacing w:before="40" w:after="20"/>
        <w:ind w:left="284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D7C1B">
        <w:rPr>
          <w:sz w:val="20"/>
        </w:rPr>
        <w:t xml:space="preserve">v </w:t>
      </w:r>
      <w:r w:rsidRPr="00D74292">
        <w:rPr>
          <w:sz w:val="20"/>
        </w:rPr>
        <w:t xml:space="preserve">případě, že laboratoř je schopna provádět zkoušky mimo své stálé prostory, jsou tyto zkoušky u pořadového čísla označeny hvězdičkou, číselný index u pořadového čísla zkoušky označuje číslo pracoviště, na kterém se zkouška provádí (identifikace pracovišť je uvedena na první straně tohoto dokumentu) </w:t>
      </w:r>
    </w:p>
    <w:p w14:paraId="3E404DDB" w14:textId="77777777" w:rsidR="00A1279A" w:rsidRPr="00D74292" w:rsidRDefault="00A1279A" w:rsidP="00A1279A">
      <w:pPr>
        <w:spacing w:before="40" w:after="20"/>
        <w:ind w:left="284" w:hanging="284"/>
        <w:rPr>
          <w:iCs/>
          <w:sz w:val="20"/>
        </w:rPr>
      </w:pPr>
      <w:r w:rsidRPr="00D74292">
        <w:rPr>
          <w:iCs/>
          <w:sz w:val="20"/>
          <w:vertAlign w:val="superscript"/>
        </w:rPr>
        <w:t>2</w:t>
      </w:r>
      <w:r w:rsidRPr="00D74292">
        <w:rPr>
          <w:b/>
          <w:sz w:val="20"/>
        </w:rPr>
        <w:tab/>
      </w:r>
      <w:r w:rsidRPr="00D74292">
        <w:rPr>
          <w:iCs/>
          <w:sz w:val="20"/>
        </w:rPr>
        <w:t>u datovaných dokumentů identifikujících zkušební postupy se používají pouze tyto konkrétní postupy, u nedatovaných dokumentů identifikujících zkušební postupy se používá nejnovější platné vydání uvedeného postupu (včetně všech změn)</w:t>
      </w:r>
    </w:p>
    <w:p w14:paraId="43F790EB" w14:textId="77777777" w:rsidR="00A1279A" w:rsidRPr="00D74292" w:rsidRDefault="00A1279A" w:rsidP="00A1279A">
      <w:pPr>
        <w:keepNext/>
        <w:spacing w:before="40" w:after="20"/>
        <w:ind w:left="284" w:hanging="284"/>
        <w:rPr>
          <w:sz w:val="20"/>
        </w:rPr>
      </w:pPr>
      <w:r w:rsidRPr="00D74292">
        <w:rPr>
          <w:iCs/>
          <w:sz w:val="20"/>
          <w:vertAlign w:val="superscript"/>
        </w:rPr>
        <w:lastRenderedPageBreak/>
        <w:t>3</w:t>
      </w:r>
      <w:r w:rsidRPr="00D74292">
        <w:rPr>
          <w:b/>
          <w:sz w:val="20"/>
        </w:rPr>
        <w:tab/>
      </w:r>
      <w:r w:rsidRPr="00D74292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</w:t>
      </w:r>
    </w:p>
    <w:p w14:paraId="0B7F505B" w14:textId="77777777" w:rsidR="00A1279A" w:rsidRPr="00D74292" w:rsidRDefault="00A1279A" w:rsidP="00A1279A">
      <w:pPr>
        <w:keepNext/>
        <w:spacing w:before="40" w:after="20"/>
        <w:ind w:left="284"/>
        <w:rPr>
          <w:sz w:val="20"/>
        </w:rPr>
      </w:pPr>
      <w:r w:rsidRPr="00D74292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2E3A6364" w14:textId="77777777" w:rsidR="00A1279A" w:rsidRPr="00C505EB" w:rsidRDefault="00A1279A" w:rsidP="00A1279A">
      <w:pPr>
        <w:spacing w:before="40" w:after="20"/>
        <w:ind w:left="284" w:hanging="284"/>
        <w:rPr>
          <w:iCs/>
          <w:sz w:val="20"/>
          <w:vertAlign w:val="superscript"/>
        </w:rPr>
      </w:pPr>
      <w:r w:rsidRPr="00C505EB">
        <w:rPr>
          <w:iCs/>
          <w:sz w:val="20"/>
          <w:vertAlign w:val="superscript"/>
        </w:rPr>
        <w:t>4</w:t>
      </w:r>
      <w:r w:rsidRPr="00C505EB">
        <w:rPr>
          <w:iCs/>
          <w:sz w:val="20"/>
          <w:vertAlign w:val="superscript"/>
        </w:rPr>
        <w:tab/>
      </w:r>
      <w:r w:rsidRPr="00C505EB">
        <w:rPr>
          <w:iCs/>
          <w:sz w:val="20"/>
        </w:rPr>
        <w:t>laboratorní stanovení analytů v odebraném vzorku je pro</w:t>
      </w:r>
      <w:r>
        <w:rPr>
          <w:iCs/>
          <w:sz w:val="20"/>
        </w:rPr>
        <w:t>váděno u externího poskytovatele zkoušky v rozsahu jeho akreditace</w:t>
      </w:r>
    </w:p>
    <w:p w14:paraId="550BD408" w14:textId="77777777" w:rsidR="00A1279A" w:rsidRPr="008867F5" w:rsidRDefault="00A1279A" w:rsidP="00A1279A">
      <w:pPr>
        <w:keepNext/>
        <w:spacing w:before="240" w:after="60"/>
        <w:jc w:val="left"/>
        <w:rPr>
          <w:b/>
          <w:szCs w:val="24"/>
        </w:rPr>
      </w:pPr>
      <w:r w:rsidRPr="008867F5">
        <w:rPr>
          <w:b/>
          <w:szCs w:val="24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A1279A" w14:paraId="261083C5" w14:textId="77777777" w:rsidTr="002F5BD3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41D21BC3" w14:textId="77777777" w:rsidR="00A1279A" w:rsidRPr="00496EAA" w:rsidRDefault="00A1279A" w:rsidP="002F5BD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7FCE0C" w14:textId="77777777" w:rsidR="00A1279A" w:rsidRDefault="00A1279A" w:rsidP="002F5BD3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9235E0">
              <w:rPr>
                <w:b/>
                <w:sz w:val="18"/>
              </w:rPr>
              <w:t>(stanovované analyty)</w:t>
            </w:r>
          </w:p>
        </w:tc>
      </w:tr>
      <w:tr w:rsidR="00A1279A" w14:paraId="04AC2514" w14:textId="77777777" w:rsidTr="002F5BD3">
        <w:tc>
          <w:tcPr>
            <w:tcW w:w="959" w:type="dxa"/>
          </w:tcPr>
          <w:p w14:paraId="629BD523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35</w:t>
            </w:r>
          </w:p>
        </w:tc>
        <w:tc>
          <w:tcPr>
            <w:tcW w:w="9232" w:type="dxa"/>
          </w:tcPr>
          <w:p w14:paraId="0F4C7EE1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Vyjádřeno ve formě uvedených prvků nebo ve formě oxidů: Na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O, </w:t>
            </w:r>
            <w:proofErr w:type="spellStart"/>
            <w:r w:rsidRPr="007805FC">
              <w:rPr>
                <w:sz w:val="22"/>
                <w:szCs w:val="22"/>
              </w:rPr>
              <w:t>MgO</w:t>
            </w:r>
            <w:proofErr w:type="spellEnd"/>
            <w:r w:rsidRPr="007805FC">
              <w:rPr>
                <w:sz w:val="22"/>
                <w:szCs w:val="22"/>
              </w:rPr>
              <w:t>, Al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O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</w:rPr>
              <w:t>, SiO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, P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O</w:t>
            </w:r>
            <w:r w:rsidRPr="007805FC">
              <w:rPr>
                <w:sz w:val="22"/>
                <w:szCs w:val="22"/>
                <w:vertAlign w:val="subscript"/>
              </w:rPr>
              <w:t>5</w:t>
            </w:r>
            <w:r w:rsidRPr="007805FC">
              <w:rPr>
                <w:sz w:val="22"/>
                <w:szCs w:val="22"/>
              </w:rPr>
              <w:t>, SO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</w:rPr>
              <w:t>, K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O, </w:t>
            </w:r>
            <w:proofErr w:type="spellStart"/>
            <w:r w:rsidRPr="007805FC">
              <w:rPr>
                <w:sz w:val="22"/>
                <w:szCs w:val="22"/>
              </w:rPr>
              <w:t>CaO</w:t>
            </w:r>
            <w:proofErr w:type="spellEnd"/>
            <w:r w:rsidRPr="007805FC">
              <w:rPr>
                <w:sz w:val="22"/>
                <w:szCs w:val="22"/>
              </w:rPr>
              <w:t>, TiO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MnO</w:t>
            </w:r>
            <w:proofErr w:type="spellEnd"/>
            <w:r w:rsidRPr="007805FC">
              <w:rPr>
                <w:sz w:val="22"/>
                <w:szCs w:val="22"/>
              </w:rPr>
              <w:t>, Fe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O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BaO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SrO</w:t>
            </w:r>
            <w:proofErr w:type="spellEnd"/>
          </w:p>
        </w:tc>
      </w:tr>
      <w:tr w:rsidR="00A1279A" w14:paraId="020768D5" w14:textId="77777777" w:rsidTr="002F5BD3">
        <w:tc>
          <w:tcPr>
            <w:tcW w:w="959" w:type="dxa"/>
          </w:tcPr>
          <w:p w14:paraId="5B17319A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36</w:t>
            </w:r>
          </w:p>
        </w:tc>
        <w:tc>
          <w:tcPr>
            <w:tcW w:w="9232" w:type="dxa"/>
          </w:tcPr>
          <w:p w14:paraId="23D6C9C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Naftalen, </w:t>
            </w:r>
            <w:proofErr w:type="spellStart"/>
            <w:r w:rsidRPr="007805FC">
              <w:rPr>
                <w:sz w:val="22"/>
                <w:szCs w:val="22"/>
              </w:rPr>
              <w:t>acenaftylen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acenaften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fluoren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fenantren</w:t>
            </w:r>
            <w:proofErr w:type="spellEnd"/>
            <w:r w:rsidRPr="007805FC">
              <w:rPr>
                <w:sz w:val="22"/>
                <w:szCs w:val="22"/>
              </w:rPr>
              <w:t xml:space="preserve">, antracen, </w:t>
            </w:r>
            <w:proofErr w:type="spellStart"/>
            <w:r w:rsidRPr="007805FC">
              <w:rPr>
                <w:sz w:val="22"/>
                <w:szCs w:val="22"/>
              </w:rPr>
              <w:t>fluoranten</w:t>
            </w:r>
            <w:proofErr w:type="spellEnd"/>
            <w:r w:rsidRPr="007805FC">
              <w:rPr>
                <w:sz w:val="22"/>
                <w:szCs w:val="22"/>
              </w:rPr>
              <w:t xml:space="preserve">, pyren, </w:t>
            </w:r>
            <w:proofErr w:type="spellStart"/>
            <w:r w:rsidRPr="007805FC">
              <w:rPr>
                <w:sz w:val="22"/>
                <w:szCs w:val="22"/>
              </w:rPr>
              <w:t>benzo</w:t>
            </w:r>
            <w:proofErr w:type="spellEnd"/>
            <w:r w:rsidRPr="007805FC">
              <w:rPr>
                <w:sz w:val="22"/>
                <w:szCs w:val="22"/>
              </w:rPr>
              <w:t xml:space="preserve">[a]antracen, </w:t>
            </w:r>
            <w:proofErr w:type="spellStart"/>
            <w:r w:rsidRPr="007805FC">
              <w:rPr>
                <w:sz w:val="22"/>
                <w:szCs w:val="22"/>
              </w:rPr>
              <w:t>chrysen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benzo</w:t>
            </w:r>
            <w:proofErr w:type="spellEnd"/>
            <w:r w:rsidRPr="007805FC">
              <w:rPr>
                <w:sz w:val="22"/>
                <w:szCs w:val="22"/>
              </w:rPr>
              <w:t>[b]</w:t>
            </w:r>
            <w:proofErr w:type="spellStart"/>
            <w:r w:rsidRPr="007805FC">
              <w:rPr>
                <w:sz w:val="22"/>
                <w:szCs w:val="22"/>
              </w:rPr>
              <w:t>fluoranten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benzo</w:t>
            </w:r>
            <w:proofErr w:type="spellEnd"/>
            <w:r w:rsidRPr="007805FC">
              <w:rPr>
                <w:sz w:val="22"/>
                <w:szCs w:val="22"/>
              </w:rPr>
              <w:t>[k]</w:t>
            </w:r>
            <w:proofErr w:type="spellStart"/>
            <w:r w:rsidRPr="007805FC">
              <w:rPr>
                <w:sz w:val="22"/>
                <w:szCs w:val="22"/>
              </w:rPr>
              <w:t>fluoranten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benzo</w:t>
            </w:r>
            <w:proofErr w:type="spellEnd"/>
            <w:r w:rsidRPr="007805FC">
              <w:rPr>
                <w:sz w:val="22"/>
                <w:szCs w:val="22"/>
              </w:rPr>
              <w:t xml:space="preserve">[a]pyren, </w:t>
            </w:r>
            <w:proofErr w:type="spellStart"/>
            <w:r w:rsidRPr="007805FC">
              <w:rPr>
                <w:sz w:val="22"/>
                <w:szCs w:val="22"/>
              </w:rPr>
              <w:t>indeno</w:t>
            </w:r>
            <w:proofErr w:type="spellEnd"/>
            <w:r w:rsidRPr="007805FC">
              <w:rPr>
                <w:sz w:val="22"/>
                <w:szCs w:val="22"/>
              </w:rPr>
              <w:t>[1,2,3-</w:t>
            </w:r>
            <w:proofErr w:type="gramStart"/>
            <w:r w:rsidRPr="007805FC">
              <w:rPr>
                <w:sz w:val="22"/>
                <w:szCs w:val="22"/>
              </w:rPr>
              <w:t>cd]pyren</w:t>
            </w:r>
            <w:proofErr w:type="gram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dibenzo</w:t>
            </w:r>
            <w:proofErr w:type="spellEnd"/>
            <w:r w:rsidRPr="007805FC">
              <w:rPr>
                <w:sz w:val="22"/>
                <w:szCs w:val="22"/>
              </w:rPr>
              <w:t>[</w:t>
            </w:r>
            <w:proofErr w:type="spellStart"/>
            <w:r w:rsidRPr="007805FC">
              <w:rPr>
                <w:sz w:val="22"/>
                <w:szCs w:val="22"/>
              </w:rPr>
              <w:t>ah</w:t>
            </w:r>
            <w:proofErr w:type="spellEnd"/>
            <w:r w:rsidRPr="007805FC">
              <w:rPr>
                <w:sz w:val="22"/>
                <w:szCs w:val="22"/>
              </w:rPr>
              <w:t xml:space="preserve">]antracen, </w:t>
            </w:r>
            <w:proofErr w:type="spellStart"/>
            <w:r w:rsidRPr="007805FC">
              <w:rPr>
                <w:sz w:val="22"/>
                <w:szCs w:val="22"/>
              </w:rPr>
              <w:t>benzo</w:t>
            </w:r>
            <w:proofErr w:type="spellEnd"/>
            <w:r w:rsidRPr="007805FC">
              <w:rPr>
                <w:sz w:val="22"/>
                <w:szCs w:val="22"/>
              </w:rPr>
              <w:t>[</w:t>
            </w:r>
            <w:proofErr w:type="spellStart"/>
            <w:r w:rsidRPr="007805FC">
              <w:rPr>
                <w:sz w:val="22"/>
                <w:szCs w:val="22"/>
              </w:rPr>
              <w:t>ghi</w:t>
            </w:r>
            <w:proofErr w:type="spellEnd"/>
            <w:r w:rsidRPr="007805FC">
              <w:rPr>
                <w:sz w:val="22"/>
                <w:szCs w:val="22"/>
              </w:rPr>
              <w:t>]</w:t>
            </w:r>
            <w:proofErr w:type="spellStart"/>
            <w:r w:rsidRPr="007805FC">
              <w:rPr>
                <w:sz w:val="22"/>
                <w:szCs w:val="22"/>
              </w:rPr>
              <w:t>perylen</w:t>
            </w:r>
            <w:proofErr w:type="spellEnd"/>
          </w:p>
        </w:tc>
      </w:tr>
      <w:tr w:rsidR="00A1279A" w14:paraId="0B1204AD" w14:textId="77777777" w:rsidTr="002F5BD3">
        <w:tc>
          <w:tcPr>
            <w:tcW w:w="959" w:type="dxa"/>
          </w:tcPr>
          <w:p w14:paraId="714D53D2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37</w:t>
            </w:r>
          </w:p>
        </w:tc>
        <w:tc>
          <w:tcPr>
            <w:tcW w:w="9232" w:type="dxa"/>
          </w:tcPr>
          <w:p w14:paraId="3E959215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Benzen, </w:t>
            </w:r>
            <w:proofErr w:type="spellStart"/>
            <w:r w:rsidRPr="007805FC">
              <w:rPr>
                <w:sz w:val="22"/>
                <w:szCs w:val="22"/>
              </w:rPr>
              <w:t>tetrachlormethan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trichlormethan</w:t>
            </w:r>
            <w:proofErr w:type="spellEnd"/>
            <w:r w:rsidRPr="007805FC">
              <w:rPr>
                <w:sz w:val="22"/>
                <w:szCs w:val="22"/>
              </w:rPr>
              <w:t>, chloroform, cis-1,2-dichlorethen, 1,1-dichlorethen,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805FC">
              <w:rPr>
                <w:sz w:val="22"/>
                <w:szCs w:val="22"/>
              </w:rPr>
              <w:t>ethylbenzen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methylchlorid</w:t>
            </w:r>
            <w:proofErr w:type="spellEnd"/>
            <w:r w:rsidRPr="007805FC">
              <w:rPr>
                <w:sz w:val="22"/>
                <w:szCs w:val="22"/>
              </w:rPr>
              <w:t xml:space="preserve">, styren, 1,1,2,2-tetrachlorethan, </w:t>
            </w:r>
            <w:proofErr w:type="spellStart"/>
            <w:r w:rsidRPr="007805FC">
              <w:rPr>
                <w:sz w:val="22"/>
                <w:szCs w:val="22"/>
              </w:rPr>
              <w:t>tetrachlorethen</w:t>
            </w:r>
            <w:proofErr w:type="spellEnd"/>
            <w:r w:rsidRPr="007805FC">
              <w:rPr>
                <w:sz w:val="22"/>
                <w:szCs w:val="22"/>
              </w:rPr>
              <w:t>, toluen, 1,1,1</w:t>
            </w:r>
            <w:r>
              <w:rPr>
                <w:sz w:val="22"/>
                <w:szCs w:val="22"/>
              </w:rPr>
              <w:noBreakHyphen/>
            </w:r>
            <w:r w:rsidRPr="007805FC">
              <w:rPr>
                <w:sz w:val="22"/>
                <w:szCs w:val="22"/>
              </w:rPr>
              <w:t xml:space="preserve">trichlorethan, 1,1,2-trichlorethan, </w:t>
            </w:r>
            <w:proofErr w:type="spellStart"/>
            <w:r w:rsidRPr="007805FC">
              <w:rPr>
                <w:sz w:val="22"/>
                <w:szCs w:val="22"/>
              </w:rPr>
              <w:t>trichlorethen</w:t>
            </w:r>
            <w:proofErr w:type="spellEnd"/>
            <w:r w:rsidRPr="007805FC">
              <w:rPr>
                <w:sz w:val="22"/>
                <w:szCs w:val="22"/>
              </w:rPr>
              <w:t>, xyleny</w:t>
            </w:r>
          </w:p>
        </w:tc>
      </w:tr>
      <w:tr w:rsidR="00A1279A" w14:paraId="3FC11DF8" w14:textId="77777777" w:rsidTr="002F5BD3">
        <w:tc>
          <w:tcPr>
            <w:tcW w:w="959" w:type="dxa"/>
          </w:tcPr>
          <w:p w14:paraId="4D4A1A8B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38</w:t>
            </w:r>
          </w:p>
        </w:tc>
        <w:tc>
          <w:tcPr>
            <w:tcW w:w="9232" w:type="dxa"/>
          </w:tcPr>
          <w:p w14:paraId="2EE91B17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C</w:t>
            </w:r>
            <w:r w:rsidRPr="007805FC">
              <w:rPr>
                <w:sz w:val="22"/>
                <w:szCs w:val="22"/>
                <w:vertAlign w:val="subscript"/>
              </w:rPr>
              <w:t>10</w:t>
            </w:r>
            <w:r w:rsidRPr="007805FC">
              <w:rPr>
                <w:sz w:val="22"/>
                <w:szCs w:val="22"/>
              </w:rPr>
              <w:t>-C</w:t>
            </w:r>
            <w:r w:rsidRPr="007805FC">
              <w:rPr>
                <w:sz w:val="22"/>
                <w:szCs w:val="22"/>
                <w:vertAlign w:val="subscript"/>
              </w:rPr>
              <w:t>40</w:t>
            </w:r>
            <w:r w:rsidRPr="007805FC">
              <w:rPr>
                <w:sz w:val="22"/>
                <w:szCs w:val="22"/>
              </w:rPr>
              <w:t xml:space="preserve">, benzen, toluen, styren, </w:t>
            </w:r>
            <w:proofErr w:type="spellStart"/>
            <w:r w:rsidRPr="007805FC">
              <w:rPr>
                <w:sz w:val="22"/>
                <w:szCs w:val="22"/>
              </w:rPr>
              <w:t>ethylbenzen</w:t>
            </w:r>
            <w:proofErr w:type="spellEnd"/>
            <w:r w:rsidRPr="007805FC">
              <w:rPr>
                <w:sz w:val="22"/>
                <w:szCs w:val="22"/>
              </w:rPr>
              <w:t xml:space="preserve">, xyleny, </w:t>
            </w:r>
            <w:proofErr w:type="spellStart"/>
            <w:r w:rsidRPr="007805FC">
              <w:rPr>
                <w:sz w:val="22"/>
                <w:szCs w:val="22"/>
              </w:rPr>
              <w:t>trichlorethen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tetrachlorethen</w:t>
            </w:r>
            <w:proofErr w:type="spellEnd"/>
          </w:p>
        </w:tc>
      </w:tr>
      <w:tr w:rsidR="00A1279A" w14:paraId="037180EB" w14:textId="77777777" w:rsidTr="002F5BD3">
        <w:tc>
          <w:tcPr>
            <w:tcW w:w="959" w:type="dxa"/>
          </w:tcPr>
          <w:p w14:paraId="6EA77A0C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39</w:t>
            </w:r>
          </w:p>
        </w:tc>
        <w:tc>
          <w:tcPr>
            <w:tcW w:w="9232" w:type="dxa"/>
          </w:tcPr>
          <w:p w14:paraId="2A021F1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Fluoridy F</w:t>
            </w:r>
            <w:r w:rsidRPr="007805FC">
              <w:rPr>
                <w:sz w:val="22"/>
                <w:szCs w:val="22"/>
                <w:vertAlign w:val="superscript"/>
              </w:rPr>
              <w:t>-</w:t>
            </w:r>
            <w:r w:rsidRPr="007805FC">
              <w:rPr>
                <w:sz w:val="22"/>
                <w:szCs w:val="22"/>
              </w:rPr>
              <w:t>, chloridy Cl</w:t>
            </w:r>
            <w:r w:rsidRPr="007805FC">
              <w:rPr>
                <w:sz w:val="22"/>
                <w:szCs w:val="22"/>
                <w:vertAlign w:val="superscript"/>
              </w:rPr>
              <w:t>-</w:t>
            </w:r>
            <w:r w:rsidRPr="007805FC">
              <w:rPr>
                <w:sz w:val="22"/>
                <w:szCs w:val="22"/>
              </w:rPr>
              <w:t>, bromidy Br</w:t>
            </w:r>
            <w:r w:rsidRPr="007805FC">
              <w:rPr>
                <w:sz w:val="22"/>
                <w:szCs w:val="22"/>
                <w:vertAlign w:val="superscript"/>
              </w:rPr>
              <w:t>-</w:t>
            </w:r>
            <w:r w:rsidRPr="007805FC">
              <w:rPr>
                <w:sz w:val="22"/>
                <w:szCs w:val="22"/>
              </w:rPr>
              <w:t>, dusitany NO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  <w:vertAlign w:val="superscript"/>
              </w:rPr>
              <w:t>-,</w:t>
            </w:r>
            <w:r w:rsidRPr="007805FC">
              <w:rPr>
                <w:sz w:val="22"/>
                <w:szCs w:val="22"/>
              </w:rPr>
              <w:t xml:space="preserve"> dusičnany NO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  <w:vertAlign w:val="superscript"/>
              </w:rPr>
              <w:t>-</w:t>
            </w:r>
            <w:r w:rsidRPr="007805FC">
              <w:rPr>
                <w:sz w:val="22"/>
                <w:szCs w:val="22"/>
              </w:rPr>
              <w:t>, fosforečnany PO</w:t>
            </w:r>
            <w:r w:rsidRPr="007805FC">
              <w:rPr>
                <w:sz w:val="22"/>
                <w:szCs w:val="22"/>
                <w:vertAlign w:val="subscript"/>
              </w:rPr>
              <w:t>4</w:t>
            </w:r>
            <w:r w:rsidRPr="007805FC">
              <w:rPr>
                <w:sz w:val="22"/>
                <w:szCs w:val="22"/>
                <w:vertAlign w:val="superscript"/>
              </w:rPr>
              <w:t>3-</w:t>
            </w:r>
            <w:r w:rsidRPr="007805FC">
              <w:rPr>
                <w:sz w:val="22"/>
                <w:szCs w:val="22"/>
              </w:rPr>
              <w:t>, siřičitany SO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  <w:vertAlign w:val="superscript"/>
              </w:rPr>
              <w:t>2-</w:t>
            </w:r>
            <w:r w:rsidRPr="007805FC">
              <w:rPr>
                <w:sz w:val="22"/>
                <w:szCs w:val="22"/>
              </w:rPr>
              <w:t>, sírany SO</w:t>
            </w:r>
            <w:r w:rsidRPr="007805FC">
              <w:rPr>
                <w:sz w:val="22"/>
                <w:szCs w:val="22"/>
                <w:vertAlign w:val="subscript"/>
              </w:rPr>
              <w:t>4</w:t>
            </w:r>
            <w:r w:rsidRPr="007805FC">
              <w:rPr>
                <w:sz w:val="22"/>
                <w:szCs w:val="22"/>
                <w:vertAlign w:val="superscript"/>
              </w:rPr>
              <w:t>2-</w:t>
            </w:r>
          </w:p>
          <w:p w14:paraId="2E6F6B3B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 případě imisí vyjádřeno ve formě uvedených aniontů nebo ve formě oxidů: NO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>, SO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</w:p>
        </w:tc>
      </w:tr>
    </w:tbl>
    <w:p w14:paraId="1559B640" w14:textId="77777777" w:rsidR="00A1279A" w:rsidRPr="008867F5" w:rsidRDefault="00A1279A" w:rsidP="00A1279A">
      <w:pPr>
        <w:keepNext/>
        <w:spacing w:before="240" w:after="60"/>
        <w:jc w:val="left"/>
        <w:rPr>
          <w:b/>
          <w:szCs w:val="24"/>
        </w:rPr>
      </w:pPr>
      <w:r w:rsidRPr="008867F5">
        <w:rPr>
          <w:b/>
          <w:szCs w:val="24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A1279A" w14:paraId="4F2259FD" w14:textId="77777777" w:rsidTr="002F5BD3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2DB18367" w14:textId="77777777" w:rsidR="00A1279A" w:rsidRPr="00496EAA" w:rsidRDefault="00A1279A" w:rsidP="002F5BD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0ACB35" w14:textId="77777777" w:rsidR="00A1279A" w:rsidRDefault="00A1279A" w:rsidP="002F5BD3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akreditace </w:t>
            </w:r>
            <w:r w:rsidRPr="009235E0">
              <w:rPr>
                <w:b/>
                <w:sz w:val="18"/>
              </w:rPr>
              <w:t>(předmět zkoušení)</w:t>
            </w:r>
          </w:p>
        </w:tc>
      </w:tr>
      <w:tr w:rsidR="00A1279A" w14:paraId="0A238BF9" w14:textId="77777777" w:rsidTr="002F5BD3">
        <w:tc>
          <w:tcPr>
            <w:tcW w:w="959" w:type="dxa"/>
            <w:tcBorders>
              <w:bottom w:val="single" w:sz="4" w:space="0" w:color="auto"/>
            </w:tcBorders>
          </w:tcPr>
          <w:p w14:paraId="73E31F6A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9–12, 20–24</w:t>
            </w:r>
          </w:p>
        </w:tc>
        <w:tc>
          <w:tcPr>
            <w:tcW w:w="9232" w:type="dxa"/>
            <w:tcBorders>
              <w:bottom w:val="single" w:sz="4" w:space="0" w:color="auto"/>
            </w:tcBorders>
          </w:tcPr>
          <w:p w14:paraId="6B3923E9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Tuhá fosilní paliva</w:t>
            </w:r>
            <w:r>
              <w:rPr>
                <w:sz w:val="22"/>
                <w:szCs w:val="22"/>
              </w:rPr>
              <w:t>:</w:t>
            </w:r>
            <w:r w:rsidRPr="007805FC">
              <w:rPr>
                <w:sz w:val="22"/>
                <w:szCs w:val="22"/>
              </w:rPr>
              <w:t xml:space="preserve"> černé uhlí, hnědé uhlí, koks</w:t>
            </w:r>
          </w:p>
        </w:tc>
      </w:tr>
      <w:tr w:rsidR="00A1279A" w14:paraId="1C66DB86" w14:textId="77777777" w:rsidTr="002F5BD3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0BD7958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27–29</w:t>
            </w:r>
          </w:p>
        </w:tc>
        <w:tc>
          <w:tcPr>
            <w:tcW w:w="9232" w:type="dxa"/>
            <w:tcBorders>
              <w:top w:val="single" w:sz="4" w:space="0" w:color="auto"/>
              <w:bottom w:val="single" w:sz="4" w:space="0" w:color="auto"/>
            </w:tcBorders>
          </w:tcPr>
          <w:p w14:paraId="4FE4ED0D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Kapaliny</w:t>
            </w:r>
            <w:r>
              <w:rPr>
                <w:sz w:val="22"/>
                <w:szCs w:val="22"/>
              </w:rPr>
              <w:t>:</w:t>
            </w:r>
            <w:r w:rsidRPr="007805FC">
              <w:rPr>
                <w:sz w:val="22"/>
                <w:szCs w:val="22"/>
              </w:rPr>
              <w:t xml:space="preserve"> hořlavé kapaliny se suspendovanými pevnými látkami a kapaliny s tendencí vytvářet povrchový film za daných podmínek zkoušky</w:t>
            </w:r>
          </w:p>
        </w:tc>
      </w:tr>
      <w:tr w:rsidR="00A1279A" w14:paraId="03463C3F" w14:textId="77777777" w:rsidTr="002F5BD3">
        <w:tc>
          <w:tcPr>
            <w:tcW w:w="959" w:type="dxa"/>
            <w:tcBorders>
              <w:top w:val="single" w:sz="4" w:space="0" w:color="auto"/>
            </w:tcBorders>
          </w:tcPr>
          <w:p w14:paraId="31006851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36–39</w:t>
            </w:r>
          </w:p>
        </w:tc>
        <w:tc>
          <w:tcPr>
            <w:tcW w:w="9232" w:type="dxa"/>
            <w:tcBorders>
              <w:top w:val="single" w:sz="4" w:space="0" w:color="auto"/>
            </w:tcBorders>
          </w:tcPr>
          <w:p w14:paraId="77AEAD96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Imise: odběr vnějšího ovzduší</w:t>
            </w:r>
          </w:p>
        </w:tc>
      </w:tr>
      <w:tr w:rsidR="00A1279A" w14:paraId="7FE4C964" w14:textId="77777777" w:rsidTr="002F5BD3">
        <w:tc>
          <w:tcPr>
            <w:tcW w:w="959" w:type="dxa"/>
          </w:tcPr>
          <w:p w14:paraId="3881EDF7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39–41</w:t>
            </w:r>
          </w:p>
        </w:tc>
        <w:tc>
          <w:tcPr>
            <w:tcW w:w="9232" w:type="dxa"/>
          </w:tcPr>
          <w:p w14:paraId="6B92F598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Výluhy: výluhy odpadů a pevných vzorků, výluhy materiálů</w:t>
            </w:r>
          </w:p>
        </w:tc>
      </w:tr>
      <w:tr w:rsidR="00A1279A" w14:paraId="7E207836" w14:textId="77777777" w:rsidTr="002F5BD3">
        <w:tc>
          <w:tcPr>
            <w:tcW w:w="959" w:type="dxa"/>
          </w:tcPr>
          <w:p w14:paraId="070F073B" w14:textId="77777777" w:rsidR="00A1279A" w:rsidRPr="007805FC" w:rsidRDefault="00A1279A" w:rsidP="002F5BD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39</w:t>
            </w:r>
          </w:p>
        </w:tc>
        <w:tc>
          <w:tcPr>
            <w:tcW w:w="9232" w:type="dxa"/>
          </w:tcPr>
          <w:p w14:paraId="66950652" w14:textId="77777777" w:rsidR="00A1279A" w:rsidRPr="007805FC" w:rsidRDefault="00A1279A" w:rsidP="002F5BD3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Absorpční roztoky: po spálení v kalorimetrické bombě</w:t>
            </w:r>
          </w:p>
        </w:tc>
      </w:tr>
    </w:tbl>
    <w:p w14:paraId="3EB0BC8F" w14:textId="77777777" w:rsidR="00A1279A" w:rsidRDefault="00A1279A" w:rsidP="00A1279A">
      <w:pPr>
        <w:pStyle w:val="Nadpis6"/>
        <w:keepNext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lastRenderedPageBreak/>
        <w:t>Vzorkování: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5187"/>
        <w:gridCol w:w="2268"/>
        <w:gridCol w:w="1793"/>
      </w:tblGrid>
      <w:tr w:rsidR="00A1279A" w14:paraId="15524EF7" w14:textId="77777777" w:rsidTr="002F5BD3">
        <w:trPr>
          <w:tblHeader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D3E870E" w14:textId="77777777" w:rsidR="00A1279A" w:rsidRPr="00BF0984" w:rsidRDefault="00A1279A" w:rsidP="00A1279A">
            <w:pPr>
              <w:keepNext/>
              <w:spacing w:before="60" w:after="6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8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2CFD40B" w14:textId="77777777" w:rsidR="00A1279A" w:rsidRDefault="00A1279A" w:rsidP="00A1279A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7A06670F" w14:textId="77777777" w:rsidR="00A1279A" w:rsidRDefault="00A1279A" w:rsidP="00A1279A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postupu odběru vzorku</w:t>
            </w:r>
            <w:r w:rsidRPr="00B07B93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ACAC13" w14:textId="77777777" w:rsidR="00A1279A" w:rsidRDefault="00A1279A" w:rsidP="00A1279A">
            <w:pPr>
              <w:keepNext/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A1279A" w14:paraId="74679B16" w14:textId="77777777" w:rsidTr="002F5BD3">
        <w:trPr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AC0917" w14:textId="77777777" w:rsidR="00A1279A" w:rsidRPr="007805FC" w:rsidRDefault="00A1279A" w:rsidP="00A1279A">
            <w:pPr>
              <w:keepNext/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1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8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5630B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Odběr vzorků perzistentních organických látek (PCDD/PCDF, PCB, PAH) – </w:t>
            </w:r>
            <w:proofErr w:type="spellStart"/>
            <w:r w:rsidRPr="007805FC">
              <w:rPr>
                <w:sz w:val="22"/>
                <w:szCs w:val="22"/>
              </w:rPr>
              <w:t>izokinetický</w:t>
            </w:r>
            <w:proofErr w:type="spellEnd"/>
            <w:r w:rsidRPr="007805FC">
              <w:rPr>
                <w:sz w:val="22"/>
                <w:szCs w:val="22"/>
              </w:rPr>
              <w:t xml:space="preserve"> odběr s automatizovaným nebo manuálním řízením </w:t>
            </w:r>
            <w:proofErr w:type="spellStart"/>
            <w:r w:rsidRPr="007805FC">
              <w:rPr>
                <w:sz w:val="22"/>
                <w:szCs w:val="22"/>
              </w:rPr>
              <w:t>izokinetiky</w:t>
            </w:r>
            <w:proofErr w:type="spellEnd"/>
            <w:r w:rsidRPr="007805FC">
              <w:rPr>
                <w:sz w:val="22"/>
                <w:szCs w:val="22"/>
              </w:rPr>
              <w:t>, metoda filtračně kondenzační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4C80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VECV 001</w:t>
            </w:r>
          </w:p>
          <w:p w14:paraId="4224AA7C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1948-1)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3AD24C0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</w:tr>
      <w:tr w:rsidR="00A1279A" w14:paraId="37B456A8" w14:textId="77777777" w:rsidTr="002F5BD3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5B583D1" w14:textId="77777777" w:rsidR="00A1279A" w:rsidRPr="007805FC" w:rsidRDefault="00A1279A" w:rsidP="00A1279A">
            <w:pPr>
              <w:keepNext/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2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EC742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 xml:space="preserve">Odběr vzorků pro stanovení těžkých kovů (As, Cd, </w:t>
            </w:r>
            <w:proofErr w:type="spellStart"/>
            <w:r w:rsidRPr="007805FC">
              <w:rPr>
                <w:sz w:val="22"/>
                <w:szCs w:val="22"/>
              </w:rPr>
              <w:t>Cr</w:t>
            </w:r>
            <w:proofErr w:type="spellEnd"/>
            <w:r w:rsidRPr="007805FC">
              <w:rPr>
                <w:sz w:val="22"/>
                <w:szCs w:val="22"/>
              </w:rPr>
              <w:t xml:space="preserve">, Co, </w:t>
            </w:r>
            <w:proofErr w:type="spellStart"/>
            <w:r w:rsidRPr="007805FC">
              <w:rPr>
                <w:sz w:val="22"/>
                <w:szCs w:val="22"/>
              </w:rPr>
              <w:t>Cu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Mn</w:t>
            </w:r>
            <w:proofErr w:type="spellEnd"/>
            <w:r w:rsidRPr="007805FC">
              <w:rPr>
                <w:sz w:val="22"/>
                <w:szCs w:val="22"/>
              </w:rPr>
              <w:t xml:space="preserve">, Ni, </w:t>
            </w:r>
            <w:proofErr w:type="spellStart"/>
            <w:r w:rsidRPr="007805FC">
              <w:rPr>
                <w:sz w:val="22"/>
                <w:szCs w:val="22"/>
              </w:rPr>
              <w:t>Pb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Sb</w:t>
            </w:r>
            <w:proofErr w:type="spellEnd"/>
            <w:r w:rsidRPr="007805FC">
              <w:rPr>
                <w:sz w:val="22"/>
                <w:szCs w:val="22"/>
              </w:rPr>
              <w:t xml:space="preserve">, </w:t>
            </w:r>
            <w:proofErr w:type="spellStart"/>
            <w:r w:rsidRPr="007805FC">
              <w:rPr>
                <w:sz w:val="22"/>
                <w:szCs w:val="22"/>
              </w:rPr>
              <w:t>Tl</w:t>
            </w:r>
            <w:proofErr w:type="spellEnd"/>
            <w:r w:rsidRPr="007805FC">
              <w:rPr>
                <w:sz w:val="22"/>
                <w:szCs w:val="22"/>
              </w:rPr>
              <w:t xml:space="preserve">, V, </w:t>
            </w:r>
            <w:proofErr w:type="spellStart"/>
            <w:r w:rsidRPr="007805FC">
              <w:rPr>
                <w:sz w:val="22"/>
                <w:szCs w:val="22"/>
              </w:rPr>
              <w:t>Hg</w:t>
            </w:r>
            <w:proofErr w:type="spellEnd"/>
            <w:r w:rsidRPr="007805FC">
              <w:rPr>
                <w:sz w:val="22"/>
                <w:szCs w:val="22"/>
              </w:rPr>
              <w:t xml:space="preserve">) – </w:t>
            </w:r>
            <w:proofErr w:type="spellStart"/>
            <w:r w:rsidRPr="007805FC">
              <w:rPr>
                <w:sz w:val="22"/>
                <w:szCs w:val="22"/>
              </w:rPr>
              <w:t>izokinetický</w:t>
            </w:r>
            <w:proofErr w:type="spellEnd"/>
            <w:r w:rsidRPr="007805FC">
              <w:rPr>
                <w:sz w:val="22"/>
                <w:szCs w:val="22"/>
              </w:rPr>
              <w:t xml:space="preserve"> odběr s automatizovaným nebo manuálním řízením </w:t>
            </w:r>
            <w:proofErr w:type="spellStart"/>
            <w:r w:rsidRPr="007805FC">
              <w:rPr>
                <w:sz w:val="22"/>
                <w:szCs w:val="22"/>
              </w:rPr>
              <w:t>izokinetiky</w:t>
            </w:r>
            <w:proofErr w:type="spellEnd"/>
            <w:r w:rsidRPr="007805FC">
              <w:rPr>
                <w:sz w:val="22"/>
                <w:szCs w:val="22"/>
              </w:rPr>
              <w:t xml:space="preserve"> a absorpce do kapaliny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231F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VECV 002</w:t>
            </w:r>
          </w:p>
          <w:p w14:paraId="3F72FE34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</w:t>
            </w:r>
            <w:bookmarkStart w:id="0" w:name="_Hlk130974892"/>
            <w:r w:rsidRPr="007805FC">
              <w:rPr>
                <w:sz w:val="22"/>
                <w:szCs w:val="22"/>
              </w:rPr>
              <w:t>ČSN EN 14385;</w:t>
            </w:r>
          </w:p>
          <w:p w14:paraId="398EF598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13211;</w:t>
            </w:r>
          </w:p>
          <w:p w14:paraId="3C70A6DB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13284-1</w:t>
            </w:r>
            <w:bookmarkEnd w:id="0"/>
            <w:r w:rsidRPr="007805FC">
              <w:rPr>
                <w:sz w:val="22"/>
                <w:szCs w:val="22"/>
              </w:rPr>
              <w:t>)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8BDE2D8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</w:tr>
      <w:tr w:rsidR="00A1279A" w14:paraId="55900A18" w14:textId="77777777" w:rsidTr="002F5BD3">
        <w:trPr>
          <w:cantSplit/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C6D2ADF" w14:textId="77777777" w:rsidR="00A1279A" w:rsidRPr="007805FC" w:rsidRDefault="00A1279A" w:rsidP="00A1279A">
            <w:pPr>
              <w:keepNext/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3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7D90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Odběr plynů a par (</w:t>
            </w:r>
            <w:proofErr w:type="spellStart"/>
            <w:r w:rsidRPr="007805FC">
              <w:rPr>
                <w:sz w:val="22"/>
                <w:szCs w:val="22"/>
              </w:rPr>
              <w:t>HCl</w:t>
            </w:r>
            <w:proofErr w:type="spellEnd"/>
            <w:r w:rsidRPr="007805FC">
              <w:rPr>
                <w:sz w:val="22"/>
                <w:szCs w:val="22"/>
              </w:rPr>
              <w:t>, HF, SO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 a NH</w:t>
            </w:r>
            <w:r w:rsidRPr="007805FC">
              <w:rPr>
                <w:sz w:val="22"/>
                <w:szCs w:val="22"/>
                <w:vertAlign w:val="subscript"/>
              </w:rPr>
              <w:t>3</w:t>
            </w:r>
            <w:r w:rsidRPr="007805FC">
              <w:rPr>
                <w:sz w:val="22"/>
                <w:szCs w:val="22"/>
              </w:rPr>
              <w:t>) absorpcí do kapaliny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7BAE8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VECV 003</w:t>
            </w:r>
          </w:p>
          <w:p w14:paraId="017A159A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1911;</w:t>
            </w:r>
          </w:p>
          <w:p w14:paraId="439B54B7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P CEN/TS 17340;</w:t>
            </w:r>
          </w:p>
          <w:p w14:paraId="390DCAEC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83 4728-2;</w:t>
            </w:r>
          </w:p>
          <w:p w14:paraId="612E87E3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ČSN EN 14791)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1200C98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</w:tr>
      <w:tr w:rsidR="00A1279A" w14:paraId="19648997" w14:textId="77777777" w:rsidTr="002F5BD3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1E0239F" w14:textId="77777777" w:rsidR="00A1279A" w:rsidRPr="007805FC" w:rsidRDefault="00A1279A" w:rsidP="00A1279A">
            <w:pPr>
              <w:keepNext/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4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49A0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Odběr vzorku organických látek (VOC) záchytem na pevný sorbent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682E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VECV 004</w:t>
            </w:r>
          </w:p>
          <w:p w14:paraId="7C655325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P CEN/TS 13649)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633B99C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</w:tr>
      <w:tr w:rsidR="00A1279A" w14:paraId="648091CA" w14:textId="77777777" w:rsidTr="002F5BD3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40FF1942" w14:textId="77777777" w:rsidR="00A1279A" w:rsidRPr="007805FC" w:rsidRDefault="00A1279A" w:rsidP="00A1279A">
            <w:pPr>
              <w:keepNext/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5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C3AF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Odběr vzorku tuhých znečisťujících látek (</w:t>
            </w:r>
            <w:proofErr w:type="spellStart"/>
            <w:r w:rsidRPr="007805FC">
              <w:rPr>
                <w:sz w:val="22"/>
                <w:szCs w:val="22"/>
              </w:rPr>
              <w:t>izokinetický</w:t>
            </w:r>
            <w:proofErr w:type="spellEnd"/>
            <w:r w:rsidRPr="007805FC">
              <w:rPr>
                <w:sz w:val="22"/>
                <w:szCs w:val="22"/>
              </w:rPr>
              <w:t xml:space="preserve"> odběr s automatizovaným nebo manuálním řízením </w:t>
            </w:r>
            <w:proofErr w:type="spellStart"/>
            <w:r w:rsidRPr="007805FC">
              <w:rPr>
                <w:sz w:val="22"/>
                <w:szCs w:val="22"/>
              </w:rPr>
              <w:t>izokinetiky</w:t>
            </w:r>
            <w:proofErr w:type="spellEnd"/>
            <w:r w:rsidRPr="007805FC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7C7B8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VECV 005</w:t>
            </w:r>
          </w:p>
          <w:p w14:paraId="40B5D20F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EN 13284-1)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A4858BA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Emise</w:t>
            </w:r>
          </w:p>
        </w:tc>
      </w:tr>
      <w:tr w:rsidR="00A1279A" w14:paraId="7FE1EA51" w14:textId="77777777" w:rsidTr="002F5BD3">
        <w:trPr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3365D165" w14:textId="77777777" w:rsidR="00A1279A" w:rsidRPr="007805FC" w:rsidRDefault="00A1279A" w:rsidP="00A1279A">
            <w:pPr>
              <w:keepNext/>
              <w:spacing w:before="40" w:after="20"/>
              <w:jc w:val="center"/>
              <w:rPr>
                <w:sz w:val="22"/>
                <w:szCs w:val="22"/>
                <w:vertAlign w:val="superscript"/>
              </w:rPr>
            </w:pPr>
            <w:r w:rsidRPr="007805FC">
              <w:rPr>
                <w:sz w:val="22"/>
                <w:szCs w:val="22"/>
              </w:rPr>
              <w:t>6</w:t>
            </w:r>
            <w:r w:rsidRPr="007805F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18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41ECF74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Odběr vzorků H</w:t>
            </w:r>
            <w:r w:rsidRPr="007805FC">
              <w:rPr>
                <w:sz w:val="22"/>
                <w:szCs w:val="22"/>
                <w:vertAlign w:val="subscript"/>
              </w:rPr>
              <w:t>2</w:t>
            </w:r>
            <w:r w:rsidRPr="007805FC">
              <w:rPr>
                <w:sz w:val="22"/>
                <w:szCs w:val="22"/>
              </w:rPr>
              <w:t xml:space="preserve"> pro stanovení jeho čistoty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D098516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VECV 006</w:t>
            </w:r>
          </w:p>
          <w:p w14:paraId="41435EB4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(ČSN ISO 19880-1)</w:t>
            </w:r>
          </w:p>
        </w:tc>
        <w:tc>
          <w:tcPr>
            <w:tcW w:w="1793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509504B1" w14:textId="77777777" w:rsidR="00A1279A" w:rsidRPr="007805FC" w:rsidRDefault="00A1279A" w:rsidP="00A1279A">
            <w:pPr>
              <w:keepNext/>
              <w:spacing w:before="40" w:after="20"/>
              <w:jc w:val="left"/>
              <w:rPr>
                <w:sz w:val="22"/>
                <w:szCs w:val="22"/>
              </w:rPr>
            </w:pPr>
            <w:r w:rsidRPr="007805FC">
              <w:rPr>
                <w:sz w:val="22"/>
                <w:szCs w:val="22"/>
              </w:rPr>
              <w:t>Vodík</w:t>
            </w:r>
          </w:p>
        </w:tc>
      </w:tr>
    </w:tbl>
    <w:p w14:paraId="18E71479" w14:textId="77777777" w:rsidR="00A1279A" w:rsidRDefault="00A1279A" w:rsidP="00A1279A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 xml:space="preserve"> 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postupy odběru vzorku se používají pouze tyto konkrétní postupy, u nedatovaných dokumentů identifikujících </w:t>
      </w:r>
      <w:r w:rsidRPr="00A41298">
        <w:rPr>
          <w:iCs/>
          <w:sz w:val="20"/>
        </w:rPr>
        <w:t xml:space="preserve">postupy odběru vzorku </w:t>
      </w:r>
      <w:r w:rsidRPr="00EB153F">
        <w:rPr>
          <w:iCs/>
          <w:sz w:val="20"/>
        </w:rPr>
        <w:t xml:space="preserve">se používá nejnovější </w:t>
      </w:r>
      <w:r>
        <w:rPr>
          <w:iCs/>
          <w:sz w:val="20"/>
        </w:rPr>
        <w:t xml:space="preserve">platné </w:t>
      </w:r>
      <w:r w:rsidRPr="00EB153F">
        <w:rPr>
          <w:iCs/>
          <w:sz w:val="20"/>
        </w:rPr>
        <w:t xml:space="preserve">vydání uvedeného postupu </w:t>
      </w:r>
      <w:r>
        <w:rPr>
          <w:iCs/>
          <w:sz w:val="20"/>
        </w:rPr>
        <w:t>(včetně všech změn)</w:t>
      </w:r>
    </w:p>
    <w:p w14:paraId="740920EC" w14:textId="77777777" w:rsidR="00A1279A" w:rsidRDefault="00A1279A" w:rsidP="00A1279A">
      <w:pPr>
        <w:spacing w:before="40" w:after="20"/>
        <w:ind w:left="284" w:hanging="284"/>
        <w:rPr>
          <w:iCs/>
          <w:sz w:val="20"/>
        </w:rPr>
      </w:pPr>
      <w:r w:rsidRPr="00D74292">
        <w:rPr>
          <w:iCs/>
          <w:sz w:val="20"/>
          <w:vertAlign w:val="superscript"/>
        </w:rPr>
        <w:t>2</w:t>
      </w:r>
      <w:r w:rsidRPr="00D74292">
        <w:rPr>
          <w:iCs/>
          <w:sz w:val="20"/>
        </w:rPr>
        <w:tab/>
        <w:t>číselný index u pořadového čísla vzorkování označuje číslo pracoviště, kterým je vzorkování prováděno (identifikace pracovišť je uvedena na první straně tohoto dokumentu)</w:t>
      </w:r>
      <w:r w:rsidRPr="00D74292" w:rsidDel="00006E77">
        <w:rPr>
          <w:iCs/>
          <w:sz w:val="20"/>
        </w:rPr>
        <w:t xml:space="preserve"> </w:t>
      </w:r>
    </w:p>
    <w:p w14:paraId="1D40FC11" w14:textId="77777777" w:rsidR="00A1279A" w:rsidRDefault="00A1279A" w:rsidP="00A1279A">
      <w:pPr>
        <w:spacing w:before="120" w:after="60"/>
        <w:rPr>
          <w:b/>
          <w:bCs/>
          <w:u w:val="single"/>
        </w:rPr>
      </w:pPr>
      <w:r>
        <w:rPr>
          <w:b/>
          <w:bCs/>
          <w:u w:val="single"/>
        </w:rPr>
        <w:t>Vysvětlivky a zkratky:</w:t>
      </w:r>
    </w:p>
    <w:p w14:paraId="6112D53E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r w:rsidRPr="007805FC">
        <w:rPr>
          <w:bCs/>
          <w:sz w:val="22"/>
          <w:szCs w:val="22"/>
        </w:rPr>
        <w:t xml:space="preserve">Emise </w:t>
      </w:r>
      <w:r w:rsidRPr="007805FC">
        <w:rPr>
          <w:sz w:val="22"/>
          <w:szCs w:val="22"/>
        </w:rPr>
        <w:tab/>
        <w:t xml:space="preserve">- </w:t>
      </w:r>
      <w:r w:rsidRPr="0024616D">
        <w:rPr>
          <w:sz w:val="22"/>
          <w:szCs w:val="22"/>
        </w:rPr>
        <w:t>odpadní plyn s obsahem znečišťujících látek, který je odváděn řízeným způsobem nebo uniká do venkovní atmosféry ze zdrojů znečišťování ovzduší</w:t>
      </w:r>
    </w:p>
    <w:p w14:paraId="2A8B86CA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proofErr w:type="gramStart"/>
      <w:r w:rsidRPr="007805FC">
        <w:rPr>
          <w:sz w:val="22"/>
          <w:szCs w:val="22"/>
        </w:rPr>
        <w:t>Kapaliny</w:t>
      </w:r>
      <w:r w:rsidRPr="007805FC">
        <w:rPr>
          <w:sz w:val="22"/>
          <w:szCs w:val="22"/>
        </w:rPr>
        <w:tab/>
        <w:t>- hořlavé</w:t>
      </w:r>
      <w:proofErr w:type="gramEnd"/>
      <w:r w:rsidRPr="007805FC">
        <w:rPr>
          <w:sz w:val="22"/>
          <w:szCs w:val="22"/>
        </w:rPr>
        <w:t xml:space="preserve"> kapaliny se suspendovanými pevnými látkami a kapaliny s tendencí vytvářet povrchový film za daných podmínek zkoušky</w:t>
      </w:r>
    </w:p>
    <w:p w14:paraId="45BEB000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>FD/</w:t>
      </w:r>
      <w:proofErr w:type="gramStart"/>
      <w:r w:rsidRPr="007805FC">
        <w:rPr>
          <w:sz w:val="22"/>
          <w:szCs w:val="22"/>
        </w:rPr>
        <w:t>FLD</w:t>
      </w:r>
      <w:r w:rsidRPr="007805FC">
        <w:rPr>
          <w:sz w:val="22"/>
          <w:szCs w:val="22"/>
        </w:rPr>
        <w:tab/>
        <w:t xml:space="preserve">- </w:t>
      </w:r>
      <w:proofErr w:type="spellStart"/>
      <w:r w:rsidRPr="007805FC">
        <w:rPr>
          <w:sz w:val="22"/>
          <w:szCs w:val="22"/>
        </w:rPr>
        <w:t>florescenční</w:t>
      </w:r>
      <w:proofErr w:type="spellEnd"/>
      <w:proofErr w:type="gramEnd"/>
      <w:r w:rsidRPr="007805FC">
        <w:rPr>
          <w:sz w:val="22"/>
          <w:szCs w:val="22"/>
        </w:rPr>
        <w:t xml:space="preserve"> detektor</w:t>
      </w:r>
    </w:p>
    <w:p w14:paraId="3F72C7D1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FID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 xml:space="preserve">- </w:t>
      </w:r>
      <w:proofErr w:type="spellStart"/>
      <w:r w:rsidRPr="007805FC">
        <w:rPr>
          <w:sz w:val="22"/>
          <w:szCs w:val="22"/>
        </w:rPr>
        <w:t>plamenoionizační</w:t>
      </w:r>
      <w:proofErr w:type="spellEnd"/>
      <w:r w:rsidRPr="007805FC">
        <w:rPr>
          <w:sz w:val="22"/>
          <w:szCs w:val="22"/>
        </w:rPr>
        <w:t xml:space="preserve"> detekce</w:t>
      </w:r>
    </w:p>
    <w:p w14:paraId="31687245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proofErr w:type="gramStart"/>
      <w:r w:rsidRPr="007805FC">
        <w:rPr>
          <w:sz w:val="22"/>
          <w:szCs w:val="22"/>
        </w:rPr>
        <w:t>FLDCVAAS</w:t>
      </w:r>
      <w:r w:rsidRPr="007805FC">
        <w:rPr>
          <w:sz w:val="22"/>
          <w:szCs w:val="22"/>
        </w:rPr>
        <w:tab/>
        <w:t>- Atomová</w:t>
      </w:r>
      <w:proofErr w:type="gramEnd"/>
      <w:r w:rsidRPr="007805FC">
        <w:rPr>
          <w:sz w:val="22"/>
          <w:szCs w:val="22"/>
        </w:rPr>
        <w:t xml:space="preserve"> emisní spektrometrie – technika studených par</w:t>
      </w:r>
    </w:p>
    <w:p w14:paraId="0EF496A3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r w:rsidRPr="007805FC">
        <w:rPr>
          <w:sz w:val="22"/>
          <w:szCs w:val="22"/>
        </w:rPr>
        <w:t xml:space="preserve">EPA </w:t>
      </w:r>
      <w:proofErr w:type="spellStart"/>
      <w:r w:rsidRPr="007805FC">
        <w:rPr>
          <w:sz w:val="22"/>
          <w:szCs w:val="22"/>
        </w:rPr>
        <w:t>Method</w:t>
      </w:r>
      <w:proofErr w:type="spellEnd"/>
      <w:r w:rsidRPr="007805FC">
        <w:rPr>
          <w:sz w:val="22"/>
          <w:szCs w:val="22"/>
        </w:rPr>
        <w:t xml:space="preserve"> </w:t>
      </w:r>
      <w:r w:rsidRPr="007805FC">
        <w:rPr>
          <w:sz w:val="22"/>
          <w:szCs w:val="22"/>
        </w:rPr>
        <w:tab/>
        <w:t>- metody Agentury pro životní prostředí USA</w:t>
      </w:r>
    </w:p>
    <w:p w14:paraId="5843AF53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>FTIR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infračervená spektroskopie s Fourierovou transformací</w:t>
      </w:r>
    </w:p>
    <w:p w14:paraId="37A9E143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r w:rsidRPr="007805FC">
        <w:rPr>
          <w:sz w:val="22"/>
          <w:szCs w:val="22"/>
        </w:rPr>
        <w:t>GC/</w:t>
      </w:r>
      <w:proofErr w:type="gramStart"/>
      <w:r w:rsidRPr="007805FC">
        <w:rPr>
          <w:sz w:val="22"/>
          <w:szCs w:val="22"/>
        </w:rPr>
        <w:t>MS</w:t>
      </w:r>
      <w:r w:rsidRPr="007805FC">
        <w:rPr>
          <w:sz w:val="22"/>
          <w:szCs w:val="22"/>
        </w:rPr>
        <w:tab/>
        <w:t>- plynová</w:t>
      </w:r>
      <w:proofErr w:type="gramEnd"/>
      <w:r w:rsidRPr="007805FC">
        <w:rPr>
          <w:sz w:val="22"/>
          <w:szCs w:val="22"/>
        </w:rPr>
        <w:t xml:space="preserve"> chromatografie s hmotnostním spektrometrem</w:t>
      </w:r>
    </w:p>
    <w:p w14:paraId="0B33A694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r w:rsidRPr="007805FC">
        <w:rPr>
          <w:sz w:val="22"/>
          <w:szCs w:val="22"/>
        </w:rPr>
        <w:t>GC/</w:t>
      </w:r>
      <w:proofErr w:type="gramStart"/>
      <w:r w:rsidRPr="007805FC">
        <w:rPr>
          <w:sz w:val="22"/>
          <w:szCs w:val="22"/>
        </w:rPr>
        <w:t>TDC</w:t>
      </w:r>
      <w:r w:rsidRPr="007805FC">
        <w:rPr>
          <w:sz w:val="22"/>
          <w:szCs w:val="22"/>
        </w:rPr>
        <w:tab/>
        <w:t>- plynová</w:t>
      </w:r>
      <w:proofErr w:type="gramEnd"/>
      <w:r w:rsidRPr="007805FC">
        <w:rPr>
          <w:sz w:val="22"/>
          <w:szCs w:val="22"/>
        </w:rPr>
        <w:t xml:space="preserve"> chromatografie s termální detekcí</w:t>
      </w:r>
    </w:p>
    <w:p w14:paraId="578A2A12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proofErr w:type="gramStart"/>
      <w:r w:rsidRPr="007805FC">
        <w:rPr>
          <w:sz w:val="22"/>
          <w:szCs w:val="22"/>
        </w:rPr>
        <w:t>HPLC</w:t>
      </w:r>
      <w:r w:rsidRPr="007805FC">
        <w:rPr>
          <w:sz w:val="22"/>
          <w:szCs w:val="22"/>
        </w:rPr>
        <w:tab/>
        <w:t>- vysokoúčinná</w:t>
      </w:r>
      <w:proofErr w:type="gramEnd"/>
      <w:r w:rsidRPr="007805FC">
        <w:rPr>
          <w:sz w:val="22"/>
          <w:szCs w:val="22"/>
        </w:rPr>
        <w:t xml:space="preserve"> kapalinová chromatografie</w:t>
      </w:r>
    </w:p>
    <w:p w14:paraId="6A7CD81E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proofErr w:type="gramStart"/>
      <w:r w:rsidRPr="007805FC">
        <w:rPr>
          <w:sz w:val="22"/>
          <w:szCs w:val="22"/>
        </w:rPr>
        <w:t>IET</w:t>
      </w:r>
      <w:r w:rsidRPr="007805FC">
        <w:rPr>
          <w:sz w:val="22"/>
          <w:szCs w:val="22"/>
        </w:rPr>
        <w:tab/>
        <w:t>- Institut</w:t>
      </w:r>
      <w:proofErr w:type="gramEnd"/>
      <w:r w:rsidRPr="007805FC">
        <w:rPr>
          <w:sz w:val="22"/>
          <w:szCs w:val="22"/>
        </w:rPr>
        <w:t xml:space="preserve"> environmentálních technologií</w:t>
      </w:r>
    </w:p>
    <w:p w14:paraId="527BE019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>NDIR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 xml:space="preserve">- infračervená spektroskopie </w:t>
      </w:r>
      <w:proofErr w:type="spellStart"/>
      <w:r w:rsidRPr="007805FC">
        <w:rPr>
          <w:sz w:val="22"/>
          <w:szCs w:val="22"/>
        </w:rPr>
        <w:t>nedisperzivní</w:t>
      </w:r>
      <w:proofErr w:type="spellEnd"/>
    </w:p>
    <w:p w14:paraId="7550F9D1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proofErr w:type="gramStart"/>
      <w:r w:rsidRPr="007805FC">
        <w:rPr>
          <w:sz w:val="22"/>
          <w:szCs w:val="22"/>
        </w:rPr>
        <w:t>OFCEAS</w:t>
      </w:r>
      <w:r w:rsidRPr="007805FC">
        <w:rPr>
          <w:sz w:val="22"/>
          <w:szCs w:val="22"/>
        </w:rPr>
        <w:tab/>
        <w:t>- infračervená</w:t>
      </w:r>
      <w:proofErr w:type="gramEnd"/>
      <w:r w:rsidRPr="007805FC">
        <w:rPr>
          <w:sz w:val="22"/>
          <w:szCs w:val="22"/>
        </w:rPr>
        <w:t xml:space="preserve"> spektroskopie s optickou zpětnou vazbou</w:t>
      </w:r>
    </w:p>
    <w:p w14:paraId="3E8CC5DB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PAH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polycyklické aromatické uhlovodíky</w:t>
      </w:r>
    </w:p>
    <w:p w14:paraId="398F3102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PCB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polychlorované bifenyly</w:t>
      </w:r>
    </w:p>
    <w:p w14:paraId="4557FA62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lastRenderedPageBreak/>
        <w:t xml:space="preserve">PCDD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 xml:space="preserve">- polychlorované </w:t>
      </w:r>
      <w:proofErr w:type="spellStart"/>
      <w:r w:rsidRPr="007805FC">
        <w:rPr>
          <w:sz w:val="22"/>
          <w:szCs w:val="22"/>
        </w:rPr>
        <w:t>dibenzodioxiny</w:t>
      </w:r>
      <w:proofErr w:type="spellEnd"/>
    </w:p>
    <w:p w14:paraId="5B2D6794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proofErr w:type="gramStart"/>
      <w:r w:rsidRPr="007805FC">
        <w:rPr>
          <w:sz w:val="22"/>
          <w:szCs w:val="22"/>
        </w:rPr>
        <w:t>PCDF</w:t>
      </w:r>
      <w:r w:rsidRPr="007805FC">
        <w:rPr>
          <w:sz w:val="22"/>
          <w:szCs w:val="22"/>
        </w:rPr>
        <w:tab/>
        <w:t>- polychlorované</w:t>
      </w:r>
      <w:proofErr w:type="gramEnd"/>
      <w:r w:rsidRPr="007805FC">
        <w:rPr>
          <w:sz w:val="22"/>
          <w:szCs w:val="22"/>
        </w:rPr>
        <w:t xml:space="preserve"> </w:t>
      </w:r>
      <w:proofErr w:type="spellStart"/>
      <w:r w:rsidRPr="007805FC">
        <w:rPr>
          <w:sz w:val="22"/>
          <w:szCs w:val="22"/>
        </w:rPr>
        <w:t>dibenzofurany</w:t>
      </w:r>
      <w:proofErr w:type="spellEnd"/>
    </w:p>
    <w:p w14:paraId="77EB7AC5" w14:textId="77777777" w:rsidR="00A1279A" w:rsidRPr="007805FC" w:rsidRDefault="00A1279A" w:rsidP="00A1279A">
      <w:pPr>
        <w:spacing w:line="276" w:lineRule="auto"/>
        <w:ind w:left="1418" w:hanging="1418"/>
        <w:rPr>
          <w:sz w:val="22"/>
          <w:szCs w:val="22"/>
        </w:rPr>
      </w:pPr>
      <w:proofErr w:type="gramStart"/>
      <w:r w:rsidRPr="007805FC">
        <w:rPr>
          <w:sz w:val="22"/>
          <w:szCs w:val="22"/>
        </w:rPr>
        <w:t>PDA</w:t>
      </w:r>
      <w:r w:rsidRPr="007805FC">
        <w:rPr>
          <w:sz w:val="22"/>
          <w:szCs w:val="22"/>
        </w:rPr>
        <w:tab/>
        <w:t>- detektor</w:t>
      </w:r>
      <w:proofErr w:type="gramEnd"/>
      <w:r w:rsidRPr="007805FC">
        <w:rPr>
          <w:sz w:val="22"/>
          <w:szCs w:val="22"/>
        </w:rPr>
        <w:t xml:space="preserve"> diodového pole</w:t>
      </w:r>
    </w:p>
    <w:p w14:paraId="1FD1C7E3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>TDLS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laser-diodová spektroskopie</w:t>
      </w:r>
    </w:p>
    <w:p w14:paraId="4DEE0DBB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TOC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celkový organický uhlík</w:t>
      </w:r>
    </w:p>
    <w:p w14:paraId="4091969A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TZL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 xml:space="preserve">- tuhé znečišťující látky </w:t>
      </w:r>
    </w:p>
    <w:p w14:paraId="2C4B595A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US </w:t>
      </w:r>
      <w:proofErr w:type="gramStart"/>
      <w:r w:rsidRPr="007805FC">
        <w:rPr>
          <w:sz w:val="22"/>
          <w:szCs w:val="22"/>
        </w:rPr>
        <w:t>EPA</w:t>
      </w:r>
      <w:r w:rsidRPr="007805FC">
        <w:rPr>
          <w:sz w:val="22"/>
          <w:szCs w:val="22"/>
        </w:rPr>
        <w:tab/>
        <w:t>- United</w:t>
      </w:r>
      <w:proofErr w:type="gramEnd"/>
      <w:r w:rsidRPr="007805FC">
        <w:rPr>
          <w:sz w:val="22"/>
          <w:szCs w:val="22"/>
        </w:rPr>
        <w:t xml:space="preserve"> </w:t>
      </w:r>
      <w:proofErr w:type="spellStart"/>
      <w:r w:rsidRPr="007805FC">
        <w:rPr>
          <w:sz w:val="22"/>
          <w:szCs w:val="22"/>
        </w:rPr>
        <w:t>States</w:t>
      </w:r>
      <w:proofErr w:type="spellEnd"/>
      <w:r w:rsidRPr="007805FC">
        <w:rPr>
          <w:sz w:val="22"/>
          <w:szCs w:val="22"/>
        </w:rPr>
        <w:t xml:space="preserve"> </w:t>
      </w:r>
      <w:proofErr w:type="spellStart"/>
      <w:r w:rsidRPr="007805FC">
        <w:rPr>
          <w:sz w:val="22"/>
          <w:szCs w:val="22"/>
        </w:rPr>
        <w:t>Environmental</w:t>
      </w:r>
      <w:proofErr w:type="spellEnd"/>
      <w:r w:rsidRPr="007805FC">
        <w:rPr>
          <w:sz w:val="22"/>
          <w:szCs w:val="22"/>
        </w:rPr>
        <w:t xml:space="preserve"> </w:t>
      </w:r>
      <w:proofErr w:type="spellStart"/>
      <w:r w:rsidRPr="007805FC">
        <w:rPr>
          <w:sz w:val="22"/>
          <w:szCs w:val="22"/>
        </w:rPr>
        <w:t>Protection</w:t>
      </w:r>
      <w:proofErr w:type="spellEnd"/>
      <w:r w:rsidRPr="007805FC">
        <w:rPr>
          <w:sz w:val="22"/>
          <w:szCs w:val="22"/>
        </w:rPr>
        <w:t xml:space="preserve"> </w:t>
      </w:r>
      <w:proofErr w:type="spellStart"/>
      <w:r w:rsidRPr="007805FC">
        <w:rPr>
          <w:sz w:val="22"/>
          <w:szCs w:val="22"/>
        </w:rPr>
        <w:t>Agency</w:t>
      </w:r>
      <w:proofErr w:type="spellEnd"/>
    </w:p>
    <w:p w14:paraId="61AFAF81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>VEC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Výzkumné energetické centrum</w:t>
      </w:r>
    </w:p>
    <w:p w14:paraId="2BECD197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>VECB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interní postup zkoušky v oblasti bezpečnosti</w:t>
      </w:r>
    </w:p>
    <w:p w14:paraId="37314CA5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VECL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interní postup zkoušky v oblasti paliv</w:t>
      </w:r>
    </w:p>
    <w:p w14:paraId="79563805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VECO </w:t>
      </w:r>
      <w:r w:rsidRPr="007805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805FC">
        <w:rPr>
          <w:sz w:val="22"/>
          <w:szCs w:val="22"/>
        </w:rPr>
        <w:t xml:space="preserve">- interní postup ostatních zkoušek (např. základní parametry, teplota, tlak, koncentrace) </w:t>
      </w:r>
    </w:p>
    <w:p w14:paraId="7BB00F19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>VECS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interní postup zkoušky pro oblasti spalin</w:t>
      </w:r>
    </w:p>
    <w:p w14:paraId="2C4038E1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VECV </w:t>
      </w:r>
      <w:r w:rsidRPr="007805F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805FC">
        <w:rPr>
          <w:sz w:val="22"/>
          <w:szCs w:val="22"/>
        </w:rPr>
        <w:t>- interní postup pro odběr vzorků</w:t>
      </w:r>
    </w:p>
    <w:p w14:paraId="36D2E0E3" w14:textId="77777777" w:rsidR="00A1279A" w:rsidRPr="007805FC" w:rsidRDefault="00A1279A" w:rsidP="00A1279A">
      <w:pPr>
        <w:spacing w:line="276" w:lineRule="auto"/>
        <w:rPr>
          <w:sz w:val="22"/>
          <w:szCs w:val="22"/>
        </w:rPr>
      </w:pPr>
      <w:r w:rsidRPr="007805FC">
        <w:rPr>
          <w:sz w:val="22"/>
          <w:szCs w:val="22"/>
        </w:rPr>
        <w:t xml:space="preserve">VOC </w:t>
      </w:r>
      <w:r w:rsidRPr="007805FC">
        <w:rPr>
          <w:sz w:val="22"/>
          <w:szCs w:val="22"/>
        </w:rPr>
        <w:tab/>
      </w:r>
      <w:r w:rsidRPr="007805FC">
        <w:rPr>
          <w:sz w:val="22"/>
          <w:szCs w:val="22"/>
        </w:rPr>
        <w:tab/>
        <w:t>- těkavé organické látky</w:t>
      </w:r>
    </w:p>
    <w:p w14:paraId="530A3370" w14:textId="77777777" w:rsidR="00A1279A" w:rsidRDefault="00A1279A" w:rsidP="00A1279A">
      <w:pPr>
        <w:spacing w:before="120"/>
      </w:pPr>
    </w:p>
    <w:p w14:paraId="6196FE4D" w14:textId="77777777" w:rsidR="00A1279A" w:rsidRDefault="00A1279A" w:rsidP="00A1279A"/>
    <w:sectPr w:rsidR="00A1279A" w:rsidSect="008664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8847" w14:textId="77777777" w:rsidR="00164B9F" w:rsidRDefault="00164B9F">
      <w:r>
        <w:separator/>
      </w:r>
    </w:p>
  </w:endnote>
  <w:endnote w:type="continuationSeparator" w:id="0">
    <w:p w14:paraId="02CE138F" w14:textId="77777777" w:rsidR="00164B9F" w:rsidRDefault="0016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0C9B" w14:textId="77777777" w:rsidR="006B009C" w:rsidRDefault="006B0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B822" w14:textId="77777777" w:rsidR="00103041" w:rsidRPr="0011117C" w:rsidRDefault="00A91889" w:rsidP="00FE24DF">
    <w:pPr>
      <w:pStyle w:val="Zpat"/>
      <w:spacing w:before="60" w:after="60"/>
      <w:jc w:val="center"/>
      <w:rPr>
        <w:sz w:val="14"/>
      </w:rPr>
    </w:pPr>
    <w:r w:rsidRPr="0011117C">
      <w:rPr>
        <w:sz w:val="16"/>
        <w:szCs w:val="16"/>
      </w:rPr>
      <w:t>11_</w:t>
    </w:r>
    <w:proofErr w:type="gramStart"/>
    <w:r w:rsidRPr="0011117C">
      <w:rPr>
        <w:sz w:val="16"/>
        <w:szCs w:val="16"/>
      </w:rPr>
      <w:t>01-P508</w:t>
    </w:r>
    <w:r w:rsidR="005A7FE1" w:rsidRPr="0011117C">
      <w:rPr>
        <w:sz w:val="16"/>
        <w:szCs w:val="16"/>
      </w:rPr>
      <w:t>a</w:t>
    </w:r>
    <w:proofErr w:type="gramEnd"/>
    <w:r w:rsidRPr="0011117C">
      <w:rPr>
        <w:sz w:val="16"/>
        <w:szCs w:val="16"/>
      </w:rPr>
      <w:t xml:space="preserve"> L-</w:t>
    </w:r>
    <w:r w:rsidR="00DA04A4" w:rsidRPr="0011117C">
      <w:rPr>
        <w:sz w:val="16"/>
        <w:szCs w:val="16"/>
      </w:rPr>
      <w:t>202</w:t>
    </w:r>
    <w:r w:rsidR="00DA04A4">
      <w:rPr>
        <w:sz w:val="16"/>
        <w:szCs w:val="16"/>
      </w:rPr>
      <w:t>5</w:t>
    </w:r>
    <w:r w:rsidR="003C0B2A">
      <w:rPr>
        <w:sz w:val="16"/>
        <w:szCs w:val="16"/>
      </w:rPr>
      <w:t>110</w:t>
    </w:r>
    <w:r w:rsidR="006B009C">
      <w:rPr>
        <w:sz w:val="16"/>
        <w:szCs w:val="16"/>
      </w:rPr>
      <w:t>4</w:t>
    </w:r>
    <w:r w:rsidR="00FE24DF">
      <w:rPr>
        <w:sz w:val="16"/>
        <w:szCs w:val="16"/>
      </w:rPr>
      <w:t xml:space="preserve">   /   </w:t>
    </w:r>
    <w:r w:rsidR="00DA04A4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FA765C">
      <w:rPr>
        <w:bCs/>
        <w:noProof/>
        <w:sz w:val="16"/>
        <w:szCs w:val="16"/>
      </w:rPr>
      <w:t>2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FA765C">
      <w:rPr>
        <w:bCs/>
        <w:noProof/>
        <w:sz w:val="16"/>
        <w:szCs w:val="16"/>
      </w:rPr>
      <w:t>2</w:t>
    </w:r>
    <w:r w:rsidRPr="0011117C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8523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20B54F1B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F120" w14:textId="77777777" w:rsidR="00164B9F" w:rsidRDefault="00164B9F">
      <w:r>
        <w:separator/>
      </w:r>
    </w:p>
  </w:footnote>
  <w:footnote w:type="continuationSeparator" w:id="0">
    <w:p w14:paraId="556CD72A" w14:textId="77777777" w:rsidR="00164B9F" w:rsidRDefault="0016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5D08" w14:textId="77777777" w:rsidR="006B009C" w:rsidRDefault="006B00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8758" w14:textId="77777777" w:rsidR="005A7FE1" w:rsidRDefault="005A7FE1" w:rsidP="00256D21">
    <w:pPr>
      <w:spacing w:before="240" w:after="60"/>
      <w:jc w:val="right"/>
      <w:rPr>
        <w:b/>
        <w:sz w:val="28"/>
        <w:szCs w:val="28"/>
      </w:rPr>
    </w:pPr>
  </w:p>
  <w:p w14:paraId="3B48F7E3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94CA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0865B239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FFFFFFFF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213351608">
    <w:abstractNumId w:val="5"/>
  </w:num>
  <w:num w:numId="2" w16cid:durableId="1735622406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365402452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41689236">
    <w:abstractNumId w:val="6"/>
  </w:num>
  <w:num w:numId="5" w16cid:durableId="1581940310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973974143">
    <w:abstractNumId w:val="7"/>
  </w:num>
  <w:num w:numId="7" w16cid:durableId="258215996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288710864">
    <w:abstractNumId w:val="2"/>
  </w:num>
  <w:num w:numId="9" w16cid:durableId="1276332028">
    <w:abstractNumId w:val="1"/>
  </w:num>
  <w:num w:numId="10" w16cid:durableId="1130243581">
    <w:abstractNumId w:val="3"/>
  </w:num>
  <w:num w:numId="11" w16cid:durableId="157507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41"/>
    <w:rsid w:val="00050CB0"/>
    <w:rsid w:val="00071430"/>
    <w:rsid w:val="0007695E"/>
    <w:rsid w:val="000A0A03"/>
    <w:rsid w:val="000B33A6"/>
    <w:rsid w:val="000B4E85"/>
    <w:rsid w:val="000C2A49"/>
    <w:rsid w:val="000F475B"/>
    <w:rsid w:val="00103041"/>
    <w:rsid w:val="001063AD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35C65"/>
    <w:rsid w:val="00141DBA"/>
    <w:rsid w:val="00164B9F"/>
    <w:rsid w:val="0017357A"/>
    <w:rsid w:val="001B4F27"/>
    <w:rsid w:val="001D0E95"/>
    <w:rsid w:val="00220D4A"/>
    <w:rsid w:val="002316FE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73BB"/>
    <w:rsid w:val="00337263"/>
    <w:rsid w:val="00342679"/>
    <w:rsid w:val="00343D56"/>
    <w:rsid w:val="003455D1"/>
    <w:rsid w:val="00383138"/>
    <w:rsid w:val="003852B8"/>
    <w:rsid w:val="003A5AD8"/>
    <w:rsid w:val="003A60B3"/>
    <w:rsid w:val="003B2259"/>
    <w:rsid w:val="003C026C"/>
    <w:rsid w:val="003C0B2A"/>
    <w:rsid w:val="003C184D"/>
    <w:rsid w:val="003D0E9C"/>
    <w:rsid w:val="00414409"/>
    <w:rsid w:val="00425D8E"/>
    <w:rsid w:val="00432FA8"/>
    <w:rsid w:val="004440BE"/>
    <w:rsid w:val="0046011F"/>
    <w:rsid w:val="00460ACE"/>
    <w:rsid w:val="00467838"/>
    <w:rsid w:val="00482394"/>
    <w:rsid w:val="00485DCA"/>
    <w:rsid w:val="00487F22"/>
    <w:rsid w:val="00496ABB"/>
    <w:rsid w:val="00496EAA"/>
    <w:rsid w:val="004A2D4A"/>
    <w:rsid w:val="004D2F72"/>
    <w:rsid w:val="004E6E54"/>
    <w:rsid w:val="00520AB6"/>
    <w:rsid w:val="00521903"/>
    <w:rsid w:val="00531C09"/>
    <w:rsid w:val="00534A8A"/>
    <w:rsid w:val="005560AF"/>
    <w:rsid w:val="00587B07"/>
    <w:rsid w:val="005A374A"/>
    <w:rsid w:val="005A466C"/>
    <w:rsid w:val="005A7FE1"/>
    <w:rsid w:val="005C307E"/>
    <w:rsid w:val="005E522E"/>
    <w:rsid w:val="00603693"/>
    <w:rsid w:val="00613EB7"/>
    <w:rsid w:val="00616DF6"/>
    <w:rsid w:val="00640180"/>
    <w:rsid w:val="00672EAF"/>
    <w:rsid w:val="00675973"/>
    <w:rsid w:val="006919C5"/>
    <w:rsid w:val="00694C9F"/>
    <w:rsid w:val="006A47E9"/>
    <w:rsid w:val="006B0094"/>
    <w:rsid w:val="006B009C"/>
    <w:rsid w:val="006C7A84"/>
    <w:rsid w:val="006D03B7"/>
    <w:rsid w:val="006D2FC2"/>
    <w:rsid w:val="006D624B"/>
    <w:rsid w:val="006D7858"/>
    <w:rsid w:val="006E2644"/>
    <w:rsid w:val="006F7737"/>
    <w:rsid w:val="0072732C"/>
    <w:rsid w:val="00730228"/>
    <w:rsid w:val="0074076A"/>
    <w:rsid w:val="0074328B"/>
    <w:rsid w:val="00771B7F"/>
    <w:rsid w:val="007772F2"/>
    <w:rsid w:val="007B6238"/>
    <w:rsid w:val="007C57E8"/>
    <w:rsid w:val="007D1741"/>
    <w:rsid w:val="007E0C1D"/>
    <w:rsid w:val="00800775"/>
    <w:rsid w:val="008055AC"/>
    <w:rsid w:val="00813490"/>
    <w:rsid w:val="00827DE0"/>
    <w:rsid w:val="008423E5"/>
    <w:rsid w:val="008558C7"/>
    <w:rsid w:val="0085663C"/>
    <w:rsid w:val="008664ED"/>
    <w:rsid w:val="00870BB7"/>
    <w:rsid w:val="008854C2"/>
    <w:rsid w:val="00892144"/>
    <w:rsid w:val="00893A83"/>
    <w:rsid w:val="008B4188"/>
    <w:rsid w:val="008D0413"/>
    <w:rsid w:val="008E6685"/>
    <w:rsid w:val="0093425F"/>
    <w:rsid w:val="00943FF8"/>
    <w:rsid w:val="00955E17"/>
    <w:rsid w:val="0096558B"/>
    <w:rsid w:val="00967A32"/>
    <w:rsid w:val="00977FFA"/>
    <w:rsid w:val="00990B11"/>
    <w:rsid w:val="009A5EDE"/>
    <w:rsid w:val="009F31C7"/>
    <w:rsid w:val="00A1279A"/>
    <w:rsid w:val="00A26463"/>
    <w:rsid w:val="00A41298"/>
    <w:rsid w:val="00A518C6"/>
    <w:rsid w:val="00A83C96"/>
    <w:rsid w:val="00A84DA2"/>
    <w:rsid w:val="00A862F3"/>
    <w:rsid w:val="00A91889"/>
    <w:rsid w:val="00A97561"/>
    <w:rsid w:val="00AA4AD5"/>
    <w:rsid w:val="00AD08C3"/>
    <w:rsid w:val="00B62A3F"/>
    <w:rsid w:val="00BA1913"/>
    <w:rsid w:val="00BA54B1"/>
    <w:rsid w:val="00BB2007"/>
    <w:rsid w:val="00BB2076"/>
    <w:rsid w:val="00BC1CD5"/>
    <w:rsid w:val="00BE256A"/>
    <w:rsid w:val="00BF0C96"/>
    <w:rsid w:val="00BF1A07"/>
    <w:rsid w:val="00C33ACA"/>
    <w:rsid w:val="00C35A55"/>
    <w:rsid w:val="00C3684D"/>
    <w:rsid w:val="00C800CF"/>
    <w:rsid w:val="00C93DA1"/>
    <w:rsid w:val="00CA1C24"/>
    <w:rsid w:val="00CC0F2B"/>
    <w:rsid w:val="00CC10F1"/>
    <w:rsid w:val="00CC6D03"/>
    <w:rsid w:val="00CD3459"/>
    <w:rsid w:val="00D01C4B"/>
    <w:rsid w:val="00D203AE"/>
    <w:rsid w:val="00D42525"/>
    <w:rsid w:val="00D6724F"/>
    <w:rsid w:val="00D75D93"/>
    <w:rsid w:val="00D8684A"/>
    <w:rsid w:val="00DA04A4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A1BFB"/>
    <w:rsid w:val="00EB153F"/>
    <w:rsid w:val="00EB52E0"/>
    <w:rsid w:val="00F06D61"/>
    <w:rsid w:val="00F075A7"/>
    <w:rsid w:val="00F10015"/>
    <w:rsid w:val="00F23F43"/>
    <w:rsid w:val="00F42566"/>
    <w:rsid w:val="00F52DF1"/>
    <w:rsid w:val="00F77591"/>
    <w:rsid w:val="00F84577"/>
    <w:rsid w:val="00F92750"/>
    <w:rsid w:val="00F97DB3"/>
    <w:rsid w:val="00FA765C"/>
    <w:rsid w:val="00FB7B06"/>
    <w:rsid w:val="00FD3F3A"/>
    <w:rsid w:val="00FE1014"/>
    <w:rsid w:val="00FE24DF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EA472"/>
  <w14:defaultImageDpi w14:val="96"/>
  <w15:docId w15:val="{FEA8952F-7AF8-4526-A347-5655B860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34"/>
    <w:qFormat/>
    <w:rsid w:val="00743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8484D-0D8A-472A-AA8D-B0F8C4C668FF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2073</Words>
  <Characters>12231</Characters>
  <Application>Microsoft Office Word</Application>
  <DocSecurity>0</DocSecurity>
  <Lines>101</Lines>
  <Paragraphs>28</Paragraphs>
  <ScaleCrop>false</ScaleCrop>
  <Company>ČIA</Company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OA_FRA</dc:title>
  <dc:subject>11_01</dc:subject>
  <dc:creator>601</dc:creator>
  <cp:keywords>ZL</cp:keywords>
  <dc:description/>
  <cp:lastModifiedBy>Silvie Petránková Ševčíková</cp:lastModifiedBy>
  <cp:revision>2</cp:revision>
  <cp:lastPrinted>2018-06-28T09:15:00Z</cp:lastPrinted>
  <dcterms:created xsi:type="dcterms:W3CDTF">2025-11-19T08:13:00Z</dcterms:created>
  <dcterms:modified xsi:type="dcterms:W3CDTF">2025-11-19T08:13:00Z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</Properties>
</file>